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d1e5f59e-3f1a-4dfb-be8a-a62d8446c648"/>
        <w:id w:val="625974329"/>
        <w:placeholder>
          <w:docPart w:val="E9C5B176654145FAAC90E1526642E5B2"/>
        </w:placeholder>
        <w:showingPlcHdr/>
        <w:picture/>
      </w:sdtPr>
      <w:sdtContent>
        <w:p w14:paraId="7E93A6E1" w14:textId="59D981A1" w:rsidR="00132474" w:rsidRPr="002B681F" w:rsidRDefault="00CA3D05" w:rsidP="00D3113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2297190" wp14:editId="4A99435B">
                <wp:extent cx="4526280" cy="1525905"/>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7753" cy="1526402"/>
                        </a:xfrm>
                        <a:prstGeom prst="rect">
                          <a:avLst/>
                        </a:prstGeom>
                        <a:noFill/>
                        <a:ln>
                          <a:noFill/>
                        </a:ln>
                      </pic:spPr>
                    </pic:pic>
                  </a:graphicData>
                </a:graphic>
              </wp:inline>
            </w:drawing>
          </w:r>
        </w:p>
      </w:sdtContent>
    </w:sdt>
    <w:p w14:paraId="2628134C" w14:textId="77777777" w:rsidR="00DA6C69" w:rsidRDefault="00DA6C69" w:rsidP="00DA6C69">
      <w:pPr>
        <w:spacing w:after="0"/>
        <w:jc w:val="center"/>
        <w:rPr>
          <w:rFonts w:ascii="Open Sans" w:hAnsi="Open Sans" w:cs="Open Sans"/>
          <w:b/>
          <w:color w:val="264467"/>
          <w:sz w:val="96"/>
        </w:rPr>
      </w:pPr>
      <w:r>
        <w:rPr>
          <w:rFonts w:ascii="Open Sans" w:hAnsi="Open Sans" w:cs="Open Sans"/>
          <w:b/>
          <w:color w:val="264467"/>
          <w:sz w:val="96"/>
        </w:rPr>
        <w:t>Confidentiality</w:t>
      </w:r>
      <w:r w:rsidRPr="003F3A4C">
        <w:rPr>
          <w:rFonts w:ascii="Open Sans" w:hAnsi="Open Sans" w:cs="Open Sans"/>
          <w:b/>
          <w:color w:val="264467"/>
          <w:sz w:val="96"/>
        </w:rPr>
        <w:t xml:space="preserve"> Policy</w:t>
      </w:r>
    </w:p>
    <w:p w14:paraId="6A791516" w14:textId="77777777" w:rsidR="00DA6C69" w:rsidRPr="00DA6C69" w:rsidRDefault="00DA6C69" w:rsidP="00DA6C69">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11a54487-4f27-4f43-ba01-648bb68e20f9"/>
        <w:id w:val="257028021"/>
        <w:placeholder>
          <w:docPart w:val="4106C5EF25A144E6A8E253B4AACC70DE"/>
        </w:placeholder>
      </w:sdtPr>
      <w:sdtContent>
        <w:p w14:paraId="422ADBF6" w14:textId="2B65E379" w:rsidR="00DA6C69" w:rsidRPr="00DA6C69" w:rsidRDefault="006A4F32" w:rsidP="00DA6C69">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6A4F32">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01454696" w14:textId="77777777" w:rsidR="00F26800" w:rsidRDefault="00F26800" w:rsidP="002E2C26">
      <w:pPr>
        <w:rPr>
          <w:rFonts w:ascii="Open Sans" w:hAnsi="Open Sans" w:cs="Open Sans"/>
          <w:color w:val="auto"/>
        </w:rPr>
      </w:pPr>
    </w:p>
    <w:p w14:paraId="59B19047" w14:textId="77777777" w:rsidR="00DA6C69" w:rsidRPr="002B681F" w:rsidRDefault="00DA6C69" w:rsidP="002E2C26">
      <w:pPr>
        <w:rPr>
          <w:rFonts w:ascii="Open Sans" w:hAnsi="Open Sans" w:cs="Open Sans"/>
          <w:color w:val="auto"/>
        </w:rPr>
      </w:pPr>
    </w:p>
    <w:tbl>
      <w:tblPr>
        <w:tblStyle w:val="TableGrid"/>
        <w:tblpPr w:leftFromText="180" w:rightFromText="180" w:vertAnchor="text" w:horzAnchor="margin" w:tblpXSpec="center" w:tblpY="9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DA6C69" w:rsidRPr="00C90E70" w14:paraId="051DF408" w14:textId="77777777" w:rsidTr="00DA6C69">
        <w:tc>
          <w:tcPr>
            <w:tcW w:w="2122" w:type="dxa"/>
            <w:shd w:val="clear" w:color="auto" w:fill="F2F2F2" w:themeFill="background1" w:themeFillShade="F2"/>
            <w:vAlign w:val="center"/>
          </w:tcPr>
          <w:p w14:paraId="0BF8DEF2" w14:textId="77777777" w:rsidR="00DA6C69" w:rsidRPr="00C90E70" w:rsidRDefault="00DA6C69" w:rsidP="00DA6C69">
            <w:pPr>
              <w:rPr>
                <w:rFonts w:ascii="Open Sans" w:hAnsi="Open Sans" w:cs="Open Sans"/>
              </w:rPr>
            </w:pPr>
            <w:r w:rsidRPr="00C90E70">
              <w:rPr>
                <w:rFonts w:ascii="Open Sans" w:hAnsi="Open Sans" w:cs="Open Sans"/>
              </w:rPr>
              <w:t>Policy Lead:</w:t>
            </w:r>
          </w:p>
        </w:tc>
        <w:sdt>
          <w:sdtPr>
            <w:rPr>
              <w:rFonts w:ascii="Open Sans" w:hAnsi="Open Sans" w:cs="Open Sans"/>
            </w:rPr>
            <w:tag w:val="HD:1.187.0.0:ea7131c1-dc22-4f64-8d37-3c8c6bee9e13"/>
            <w:id w:val="-711577176"/>
            <w:placeholder>
              <w:docPart w:val="F2762B45FD054500AD6528A0AE503AFC"/>
            </w:placeholder>
          </w:sdtPr>
          <w:sdtContent>
            <w:tc>
              <w:tcPr>
                <w:tcW w:w="3123" w:type="dxa"/>
                <w:vAlign w:val="center"/>
              </w:tcPr>
              <w:p w14:paraId="658D9F1C" w14:textId="7A123161" w:rsidR="00DA6C69" w:rsidRPr="00C90E70" w:rsidRDefault="00AA04EC" w:rsidP="00DA6C69">
                <w:pPr>
                  <w:rPr>
                    <w:rFonts w:ascii="Open Sans" w:hAnsi="Open Sans" w:cs="Open Sans"/>
                  </w:rPr>
                </w:pPr>
                <w:r>
                  <w:rPr>
                    <w:rFonts w:ascii="Open Sans" w:hAnsi="Open Sans" w:cs="Open Sans"/>
                    <w:noProof/>
                  </w:rPr>
                  <w:t>[</w:t>
                </w:r>
                <w:r w:rsidRPr="00AA04EC">
                  <w:rPr>
                    <w:rFonts w:ascii="Open Sans" w:hAnsi="Open Sans" w:cs="Open Sans"/>
                    <w:noProof/>
                    <w:color w:val="0000FF"/>
                  </w:rPr>
                  <w:t>Policy Lead</w:t>
                </w:r>
                <w:r>
                  <w:rPr>
                    <w:rFonts w:ascii="Open Sans" w:hAnsi="Open Sans" w:cs="Open Sans"/>
                    <w:noProof/>
                  </w:rPr>
                  <w:t>]</w:t>
                </w:r>
              </w:p>
            </w:tc>
          </w:sdtContent>
        </w:sdt>
      </w:tr>
      <w:tr w:rsidR="00DA6C69" w:rsidRPr="00C90E70" w14:paraId="5A3862D3" w14:textId="77777777" w:rsidTr="00DA6C69">
        <w:tc>
          <w:tcPr>
            <w:tcW w:w="2122" w:type="dxa"/>
            <w:shd w:val="clear" w:color="auto" w:fill="F2F2F2" w:themeFill="background1" w:themeFillShade="F2"/>
            <w:vAlign w:val="center"/>
          </w:tcPr>
          <w:p w14:paraId="692777DF" w14:textId="77777777" w:rsidR="00DA6C69" w:rsidRPr="00C90E70" w:rsidRDefault="00DA6C69" w:rsidP="00DA6C69">
            <w:pPr>
              <w:rPr>
                <w:rFonts w:ascii="Open Sans" w:hAnsi="Open Sans" w:cs="Open Sans"/>
              </w:rPr>
            </w:pPr>
            <w:r w:rsidRPr="00C90E70">
              <w:rPr>
                <w:rFonts w:ascii="Open Sans" w:hAnsi="Open Sans" w:cs="Open Sans"/>
              </w:rPr>
              <w:t>Version No.</w:t>
            </w:r>
          </w:p>
        </w:tc>
        <w:tc>
          <w:tcPr>
            <w:tcW w:w="3123" w:type="dxa"/>
            <w:vAlign w:val="center"/>
          </w:tcPr>
          <w:p w14:paraId="2A2EA338" w14:textId="77777777" w:rsidR="00DA6C69" w:rsidRPr="00C90E70" w:rsidRDefault="00DA6C69" w:rsidP="00DA6C69">
            <w:pPr>
              <w:rPr>
                <w:rFonts w:ascii="Open Sans" w:hAnsi="Open Sans" w:cs="Open Sans"/>
              </w:rPr>
            </w:pPr>
            <w:r w:rsidRPr="00C90E70">
              <w:rPr>
                <w:rFonts w:ascii="Open Sans" w:hAnsi="Open Sans" w:cs="Open Sans"/>
              </w:rPr>
              <w:t>1</w:t>
            </w:r>
          </w:p>
        </w:tc>
      </w:tr>
      <w:tr w:rsidR="00DA6C69" w:rsidRPr="00C90E70" w14:paraId="56887BD7" w14:textId="77777777" w:rsidTr="00DA6C69">
        <w:tc>
          <w:tcPr>
            <w:tcW w:w="2122" w:type="dxa"/>
            <w:shd w:val="clear" w:color="auto" w:fill="F2F2F2" w:themeFill="background1" w:themeFillShade="F2"/>
            <w:vAlign w:val="center"/>
          </w:tcPr>
          <w:p w14:paraId="40341D6E" w14:textId="77777777" w:rsidR="00DA6C69" w:rsidRPr="00C90E70" w:rsidRDefault="00DA6C69" w:rsidP="00DA6C69">
            <w:pPr>
              <w:rPr>
                <w:rFonts w:ascii="Open Sans" w:hAnsi="Open Sans" w:cs="Open Sans"/>
              </w:rPr>
            </w:pPr>
            <w:r w:rsidRPr="00C90E70">
              <w:rPr>
                <w:rFonts w:ascii="Open Sans" w:hAnsi="Open Sans" w:cs="Open Sans"/>
              </w:rPr>
              <w:t>Date of Issue:</w:t>
            </w:r>
          </w:p>
        </w:tc>
        <w:sdt>
          <w:sdtPr>
            <w:rPr>
              <w:rFonts w:ascii="Open Sans" w:hAnsi="Open Sans" w:cs="Open Sans"/>
            </w:rPr>
            <w:tag w:val="HD:1.187.0.0:9f9f2970-7a32-4c90-9067-f7bad73a5afc"/>
            <w:id w:val="1932546163"/>
            <w:placeholder>
              <w:docPart w:val="24B0BFCCA6DA4800A3FAD0DD6FA312B1"/>
            </w:placeholder>
          </w:sdtPr>
          <w:sdtContent>
            <w:tc>
              <w:tcPr>
                <w:tcW w:w="3123" w:type="dxa"/>
                <w:vAlign w:val="center"/>
              </w:tcPr>
              <w:p w14:paraId="2A59EA91" w14:textId="082CBAA1" w:rsidR="00DA6C69" w:rsidRPr="00C90E70" w:rsidRDefault="006A4F32" w:rsidP="00DA6C69">
                <w:pPr>
                  <w:rPr>
                    <w:rFonts w:ascii="Open Sans" w:hAnsi="Open Sans" w:cs="Open Sans"/>
                  </w:rPr>
                </w:pPr>
                <w:r>
                  <w:rPr>
                    <w:rFonts w:ascii="Open Sans" w:hAnsi="Open Sans" w:cs="Open Sans"/>
                    <w:noProof/>
                  </w:rPr>
                  <w:t>[</w:t>
                </w:r>
                <w:r w:rsidRPr="006A4F32">
                  <w:rPr>
                    <w:rFonts w:ascii="Open Sans" w:hAnsi="Open Sans" w:cs="Open Sans"/>
                    <w:noProof/>
                    <w:color w:val="0000FF"/>
                  </w:rPr>
                  <w:t>Date of Issue</w:t>
                </w:r>
                <w:r>
                  <w:rPr>
                    <w:rFonts w:ascii="Open Sans" w:hAnsi="Open Sans" w:cs="Open Sans"/>
                    <w:noProof/>
                  </w:rPr>
                  <w:t>]</w:t>
                </w:r>
              </w:p>
            </w:tc>
          </w:sdtContent>
        </w:sdt>
      </w:tr>
      <w:tr w:rsidR="00DA6C69" w:rsidRPr="00C90E70" w14:paraId="651BC3FE" w14:textId="77777777" w:rsidTr="00DA6C69">
        <w:tc>
          <w:tcPr>
            <w:tcW w:w="2122" w:type="dxa"/>
            <w:shd w:val="clear" w:color="auto" w:fill="F2F2F2" w:themeFill="background1" w:themeFillShade="F2"/>
            <w:vAlign w:val="center"/>
          </w:tcPr>
          <w:p w14:paraId="4D03C5AA" w14:textId="77777777" w:rsidR="00DA6C69" w:rsidRPr="00C90E70" w:rsidRDefault="00DA6C69" w:rsidP="00DA6C69">
            <w:pPr>
              <w:rPr>
                <w:rFonts w:ascii="Open Sans" w:hAnsi="Open Sans" w:cs="Open Sans"/>
              </w:rPr>
            </w:pPr>
            <w:r w:rsidRPr="00C90E70">
              <w:rPr>
                <w:rFonts w:ascii="Open Sans" w:hAnsi="Open Sans" w:cs="Open Sans"/>
              </w:rPr>
              <w:t>Date for Review:</w:t>
            </w:r>
          </w:p>
        </w:tc>
        <w:sdt>
          <w:sdtPr>
            <w:rPr>
              <w:rFonts w:ascii="Open Sans" w:hAnsi="Open Sans" w:cs="Open Sans"/>
            </w:rPr>
            <w:tag w:val="HD:1.187.0.0:23af19fe-b88a-434b-a6ee-1926ed820726"/>
            <w:id w:val="-1858341382"/>
            <w:placeholder>
              <w:docPart w:val="728F55B5B1D349E8974F537808FC5C73"/>
            </w:placeholder>
          </w:sdtPr>
          <w:sdtContent>
            <w:tc>
              <w:tcPr>
                <w:tcW w:w="3123" w:type="dxa"/>
                <w:vAlign w:val="center"/>
              </w:tcPr>
              <w:p w14:paraId="24C2ED71" w14:textId="37AE8735" w:rsidR="00DA6C69" w:rsidRPr="00C90E70" w:rsidRDefault="00AA04EC" w:rsidP="00DA6C69">
                <w:pPr>
                  <w:rPr>
                    <w:rFonts w:ascii="Open Sans" w:hAnsi="Open Sans" w:cs="Open Sans"/>
                  </w:rPr>
                </w:pPr>
                <w:r>
                  <w:rPr>
                    <w:rFonts w:ascii="Open Sans" w:hAnsi="Open Sans" w:cs="Open Sans"/>
                    <w:noProof/>
                  </w:rPr>
                  <w:t>[</w:t>
                </w:r>
                <w:r w:rsidRPr="00AA04EC">
                  <w:rPr>
                    <w:rFonts w:ascii="Open Sans" w:hAnsi="Open Sans" w:cs="Open Sans"/>
                    <w:noProof/>
                    <w:color w:val="0000FF"/>
                  </w:rPr>
                  <w:t>Date of Review</w:t>
                </w:r>
                <w:r>
                  <w:rPr>
                    <w:rFonts w:ascii="Open Sans" w:hAnsi="Open Sans" w:cs="Open Sans"/>
                    <w:noProof/>
                  </w:rPr>
                  <w:t>]</w:t>
                </w:r>
              </w:p>
            </w:tc>
          </w:sdtContent>
        </w:sdt>
      </w:tr>
    </w:tbl>
    <w:p w14:paraId="753ACD19" w14:textId="77777777" w:rsidR="00F26800" w:rsidRPr="002B681F" w:rsidRDefault="00F26800" w:rsidP="002E2C26">
      <w:pPr>
        <w:rPr>
          <w:rFonts w:ascii="Open Sans" w:hAnsi="Open Sans" w:cs="Open Sans"/>
          <w:color w:val="auto"/>
        </w:rPr>
      </w:pPr>
    </w:p>
    <w:p w14:paraId="6BDB3283" w14:textId="77777777" w:rsidR="00F26800" w:rsidRPr="002B681F" w:rsidRDefault="00F26800" w:rsidP="002E2C26">
      <w:pPr>
        <w:rPr>
          <w:rFonts w:ascii="Open Sans" w:hAnsi="Open Sans" w:cs="Open Sans"/>
          <w:color w:val="auto"/>
        </w:rPr>
      </w:pPr>
    </w:p>
    <w:p w14:paraId="532DC44C" w14:textId="77777777" w:rsidR="00F26800" w:rsidRPr="002B681F" w:rsidRDefault="00F26800" w:rsidP="002E2C26">
      <w:pPr>
        <w:rPr>
          <w:rFonts w:ascii="Open Sans" w:hAnsi="Open Sans" w:cs="Open Sans"/>
          <w:color w:val="auto"/>
        </w:rPr>
      </w:pPr>
    </w:p>
    <w:p w14:paraId="1DD0896E" w14:textId="77777777" w:rsidR="00F26800" w:rsidRPr="002B681F" w:rsidRDefault="00F26800" w:rsidP="002E2C26">
      <w:pPr>
        <w:rPr>
          <w:rFonts w:ascii="Open Sans" w:hAnsi="Open Sans" w:cs="Open Sans"/>
          <w:color w:val="auto"/>
        </w:rPr>
      </w:pPr>
    </w:p>
    <w:p w14:paraId="490E8BBB" w14:textId="77777777" w:rsidR="006650B6" w:rsidRDefault="006650B6">
      <w:pPr>
        <w:rPr>
          <w:rFonts w:ascii="Open Sans" w:hAnsi="Open Sans" w:cs="Open Sans"/>
          <w:b/>
          <w:color w:val="264467"/>
          <w:sz w:val="36"/>
        </w:rPr>
      </w:pPr>
      <w:r>
        <w:rPr>
          <w:rFonts w:ascii="Open Sans" w:hAnsi="Open Sans" w:cs="Open Sans"/>
        </w:rPr>
        <w:br w:type="page"/>
      </w:r>
    </w:p>
    <w:p w14:paraId="4E1368AA"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05A6B5B" w14:textId="1C5CEC99" w:rsidR="007E0649"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071C6">
        <w:rPr>
          <w:rFonts w:ascii="Open Sans" w:hAnsi="Open Sans" w:cs="Open Sans"/>
          <w:color w:val="264467"/>
        </w:rPr>
        <w:fldChar w:fldCharType="begin"/>
      </w:r>
      <w:r w:rsidRPr="008071C6">
        <w:rPr>
          <w:rFonts w:ascii="Open Sans" w:hAnsi="Open Sans" w:cs="Open Sans"/>
          <w:color w:val="264467"/>
        </w:rPr>
        <w:instrText xml:space="preserve"> TOC \o "1-3" \h \z \u </w:instrText>
      </w:r>
      <w:r w:rsidRPr="008071C6">
        <w:rPr>
          <w:rFonts w:ascii="Open Sans" w:hAnsi="Open Sans" w:cs="Open Sans"/>
          <w:color w:val="264467"/>
        </w:rPr>
        <w:fldChar w:fldCharType="separate"/>
      </w:r>
      <w:hyperlink w:anchor="_Toc147998783" w:history="1">
        <w:r w:rsidR="007E0649" w:rsidRPr="0049538C">
          <w:rPr>
            <w:rStyle w:val="Hyperlink"/>
            <w:noProof/>
          </w:rPr>
          <w:t>1.</w:t>
        </w:r>
        <w:r w:rsidR="007E0649">
          <w:rPr>
            <w:rFonts w:eastAsiaTheme="minorEastAsia"/>
            <w:b w:val="0"/>
            <w:noProof/>
            <w:color w:val="auto"/>
            <w:kern w:val="2"/>
            <w:lang w:eastAsia="en-GB"/>
            <w14:ligatures w14:val="standardContextual"/>
          </w:rPr>
          <w:tab/>
        </w:r>
        <w:r w:rsidR="007E0649" w:rsidRPr="0049538C">
          <w:rPr>
            <w:rStyle w:val="Hyperlink"/>
            <w:noProof/>
          </w:rPr>
          <w:t>Introduction</w:t>
        </w:r>
        <w:r w:rsidR="007E0649">
          <w:rPr>
            <w:noProof/>
            <w:webHidden/>
          </w:rPr>
          <w:tab/>
        </w:r>
        <w:r w:rsidR="007E0649">
          <w:rPr>
            <w:noProof/>
            <w:webHidden/>
          </w:rPr>
          <w:fldChar w:fldCharType="begin"/>
        </w:r>
        <w:r w:rsidR="007E0649">
          <w:rPr>
            <w:noProof/>
            <w:webHidden/>
          </w:rPr>
          <w:instrText xml:space="preserve"> PAGEREF _Toc147998783 \h </w:instrText>
        </w:r>
        <w:r w:rsidR="007E0649">
          <w:rPr>
            <w:noProof/>
            <w:webHidden/>
          </w:rPr>
        </w:r>
        <w:r w:rsidR="007E0649">
          <w:rPr>
            <w:noProof/>
            <w:webHidden/>
          </w:rPr>
          <w:fldChar w:fldCharType="separate"/>
        </w:r>
        <w:r w:rsidR="007E0649">
          <w:rPr>
            <w:noProof/>
            <w:webHidden/>
          </w:rPr>
          <w:t>3</w:t>
        </w:r>
        <w:r w:rsidR="007E0649">
          <w:rPr>
            <w:noProof/>
            <w:webHidden/>
          </w:rPr>
          <w:fldChar w:fldCharType="end"/>
        </w:r>
      </w:hyperlink>
    </w:p>
    <w:p w14:paraId="27D53D67" w14:textId="6C7F6627"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4" w:history="1">
        <w:r w:rsidR="007E0649" w:rsidRPr="0049538C">
          <w:rPr>
            <w:rStyle w:val="Hyperlink"/>
            <w:noProof/>
          </w:rPr>
          <w:t>2.</w:t>
        </w:r>
        <w:r w:rsidR="007E0649">
          <w:rPr>
            <w:rFonts w:eastAsiaTheme="minorEastAsia"/>
            <w:b w:val="0"/>
            <w:noProof/>
            <w:color w:val="auto"/>
            <w:kern w:val="2"/>
            <w:lang w:eastAsia="en-GB"/>
            <w14:ligatures w14:val="standardContextual"/>
          </w:rPr>
          <w:tab/>
        </w:r>
        <w:r w:rsidR="007E0649" w:rsidRPr="0049538C">
          <w:rPr>
            <w:rStyle w:val="Hyperlink"/>
            <w:noProof/>
          </w:rPr>
          <w:t>Policy Statement</w:t>
        </w:r>
        <w:r w:rsidR="007E0649">
          <w:rPr>
            <w:noProof/>
            <w:webHidden/>
          </w:rPr>
          <w:tab/>
        </w:r>
        <w:r w:rsidR="007E0649">
          <w:rPr>
            <w:noProof/>
            <w:webHidden/>
          </w:rPr>
          <w:fldChar w:fldCharType="begin"/>
        </w:r>
        <w:r w:rsidR="007E0649">
          <w:rPr>
            <w:noProof/>
            <w:webHidden/>
          </w:rPr>
          <w:instrText xml:space="preserve"> PAGEREF _Toc147998784 \h </w:instrText>
        </w:r>
        <w:r w:rsidR="007E0649">
          <w:rPr>
            <w:noProof/>
            <w:webHidden/>
          </w:rPr>
        </w:r>
        <w:r w:rsidR="007E0649">
          <w:rPr>
            <w:noProof/>
            <w:webHidden/>
          </w:rPr>
          <w:fldChar w:fldCharType="separate"/>
        </w:r>
        <w:r w:rsidR="007E0649">
          <w:rPr>
            <w:noProof/>
            <w:webHidden/>
          </w:rPr>
          <w:t>3</w:t>
        </w:r>
        <w:r w:rsidR="007E0649">
          <w:rPr>
            <w:noProof/>
            <w:webHidden/>
          </w:rPr>
          <w:fldChar w:fldCharType="end"/>
        </w:r>
      </w:hyperlink>
    </w:p>
    <w:p w14:paraId="3AA16CDD" w14:textId="75FD36FB"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5" w:history="1">
        <w:r w:rsidR="007E0649" w:rsidRPr="0049538C">
          <w:rPr>
            <w:rStyle w:val="Hyperlink"/>
            <w:noProof/>
          </w:rPr>
          <w:t>3.</w:t>
        </w:r>
        <w:r w:rsidR="007E0649">
          <w:rPr>
            <w:rFonts w:eastAsiaTheme="minorEastAsia"/>
            <w:b w:val="0"/>
            <w:noProof/>
            <w:color w:val="auto"/>
            <w:kern w:val="2"/>
            <w:lang w:eastAsia="en-GB"/>
            <w14:ligatures w14:val="standardContextual"/>
          </w:rPr>
          <w:tab/>
        </w:r>
        <w:r w:rsidR="007E0649" w:rsidRPr="0049538C">
          <w:rPr>
            <w:rStyle w:val="Hyperlink"/>
            <w:noProof/>
          </w:rPr>
          <w:t>Scope</w:t>
        </w:r>
        <w:r w:rsidR="007E0649">
          <w:rPr>
            <w:noProof/>
            <w:webHidden/>
          </w:rPr>
          <w:tab/>
        </w:r>
        <w:r w:rsidR="007E0649">
          <w:rPr>
            <w:noProof/>
            <w:webHidden/>
          </w:rPr>
          <w:fldChar w:fldCharType="begin"/>
        </w:r>
        <w:r w:rsidR="007E0649">
          <w:rPr>
            <w:noProof/>
            <w:webHidden/>
          </w:rPr>
          <w:instrText xml:space="preserve"> PAGEREF _Toc147998785 \h </w:instrText>
        </w:r>
        <w:r w:rsidR="007E0649">
          <w:rPr>
            <w:noProof/>
            <w:webHidden/>
          </w:rPr>
        </w:r>
        <w:r w:rsidR="007E0649">
          <w:rPr>
            <w:noProof/>
            <w:webHidden/>
          </w:rPr>
          <w:fldChar w:fldCharType="separate"/>
        </w:r>
        <w:r w:rsidR="007E0649">
          <w:rPr>
            <w:noProof/>
            <w:webHidden/>
          </w:rPr>
          <w:t>3</w:t>
        </w:r>
        <w:r w:rsidR="007E0649">
          <w:rPr>
            <w:noProof/>
            <w:webHidden/>
          </w:rPr>
          <w:fldChar w:fldCharType="end"/>
        </w:r>
      </w:hyperlink>
    </w:p>
    <w:p w14:paraId="5DDA3758" w14:textId="2E362F65"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6" w:history="1">
        <w:r w:rsidR="007E0649" w:rsidRPr="0049538C">
          <w:rPr>
            <w:rStyle w:val="Hyperlink"/>
            <w:noProof/>
          </w:rPr>
          <w:t>4.</w:t>
        </w:r>
        <w:r w:rsidR="007E0649">
          <w:rPr>
            <w:rFonts w:eastAsiaTheme="minorEastAsia"/>
            <w:b w:val="0"/>
            <w:noProof/>
            <w:color w:val="auto"/>
            <w:kern w:val="2"/>
            <w:lang w:eastAsia="en-GB"/>
            <w14:ligatures w14:val="standardContextual"/>
          </w:rPr>
          <w:tab/>
        </w:r>
        <w:r w:rsidR="007E0649" w:rsidRPr="0049538C">
          <w:rPr>
            <w:rStyle w:val="Hyperlink"/>
            <w:noProof/>
          </w:rPr>
          <w:t>Definitions</w:t>
        </w:r>
        <w:r w:rsidR="007E0649">
          <w:rPr>
            <w:noProof/>
            <w:webHidden/>
          </w:rPr>
          <w:tab/>
        </w:r>
        <w:r w:rsidR="007E0649">
          <w:rPr>
            <w:noProof/>
            <w:webHidden/>
          </w:rPr>
          <w:fldChar w:fldCharType="begin"/>
        </w:r>
        <w:r w:rsidR="007E0649">
          <w:rPr>
            <w:noProof/>
            <w:webHidden/>
          </w:rPr>
          <w:instrText xml:space="preserve"> PAGEREF _Toc147998786 \h </w:instrText>
        </w:r>
        <w:r w:rsidR="007E0649">
          <w:rPr>
            <w:noProof/>
            <w:webHidden/>
          </w:rPr>
        </w:r>
        <w:r w:rsidR="007E0649">
          <w:rPr>
            <w:noProof/>
            <w:webHidden/>
          </w:rPr>
          <w:fldChar w:fldCharType="separate"/>
        </w:r>
        <w:r w:rsidR="007E0649">
          <w:rPr>
            <w:noProof/>
            <w:webHidden/>
          </w:rPr>
          <w:t>4</w:t>
        </w:r>
        <w:r w:rsidR="007E0649">
          <w:rPr>
            <w:noProof/>
            <w:webHidden/>
          </w:rPr>
          <w:fldChar w:fldCharType="end"/>
        </w:r>
      </w:hyperlink>
    </w:p>
    <w:p w14:paraId="178A1BBD" w14:textId="52BB60DE"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7" w:history="1">
        <w:r w:rsidR="007E0649" w:rsidRPr="0049538C">
          <w:rPr>
            <w:rStyle w:val="Hyperlink"/>
            <w:noProof/>
          </w:rPr>
          <w:t>5.</w:t>
        </w:r>
        <w:r w:rsidR="007E0649">
          <w:rPr>
            <w:rFonts w:eastAsiaTheme="minorEastAsia"/>
            <w:b w:val="0"/>
            <w:noProof/>
            <w:color w:val="auto"/>
            <w:kern w:val="2"/>
            <w:lang w:eastAsia="en-GB"/>
            <w14:ligatures w14:val="standardContextual"/>
          </w:rPr>
          <w:tab/>
        </w:r>
        <w:r w:rsidR="007E0649" w:rsidRPr="0049538C">
          <w:rPr>
            <w:rStyle w:val="Hyperlink"/>
            <w:noProof/>
          </w:rPr>
          <w:t>Best Practice for Protecting Client Confidentiality</w:t>
        </w:r>
        <w:r w:rsidR="007E0649">
          <w:rPr>
            <w:noProof/>
            <w:webHidden/>
          </w:rPr>
          <w:tab/>
        </w:r>
        <w:r w:rsidR="007E0649">
          <w:rPr>
            <w:noProof/>
            <w:webHidden/>
          </w:rPr>
          <w:fldChar w:fldCharType="begin"/>
        </w:r>
        <w:r w:rsidR="007E0649">
          <w:rPr>
            <w:noProof/>
            <w:webHidden/>
          </w:rPr>
          <w:instrText xml:space="preserve"> PAGEREF _Toc147998787 \h </w:instrText>
        </w:r>
        <w:r w:rsidR="007E0649">
          <w:rPr>
            <w:noProof/>
            <w:webHidden/>
          </w:rPr>
        </w:r>
        <w:r w:rsidR="007E0649">
          <w:rPr>
            <w:noProof/>
            <w:webHidden/>
          </w:rPr>
          <w:fldChar w:fldCharType="separate"/>
        </w:r>
        <w:r w:rsidR="007E0649">
          <w:rPr>
            <w:noProof/>
            <w:webHidden/>
          </w:rPr>
          <w:t>5</w:t>
        </w:r>
        <w:r w:rsidR="007E0649">
          <w:rPr>
            <w:noProof/>
            <w:webHidden/>
          </w:rPr>
          <w:fldChar w:fldCharType="end"/>
        </w:r>
      </w:hyperlink>
    </w:p>
    <w:p w14:paraId="2856E34D" w14:textId="4EFBA61D"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8" w:history="1">
        <w:r w:rsidR="007E0649" w:rsidRPr="0049538C">
          <w:rPr>
            <w:rStyle w:val="Hyperlink"/>
            <w:noProof/>
          </w:rPr>
          <w:t>6.</w:t>
        </w:r>
        <w:r w:rsidR="007E0649">
          <w:rPr>
            <w:rFonts w:eastAsiaTheme="minorEastAsia"/>
            <w:b w:val="0"/>
            <w:noProof/>
            <w:color w:val="auto"/>
            <w:kern w:val="2"/>
            <w:lang w:eastAsia="en-GB"/>
            <w14:ligatures w14:val="standardContextual"/>
          </w:rPr>
          <w:tab/>
        </w:r>
        <w:r w:rsidR="007E0649" w:rsidRPr="0049538C">
          <w:rPr>
            <w:rStyle w:val="Hyperlink"/>
            <w:noProof/>
          </w:rPr>
          <w:t>Best Practice for Keeping Clients’ Records Secure</w:t>
        </w:r>
        <w:r w:rsidR="007E0649">
          <w:rPr>
            <w:noProof/>
            <w:webHidden/>
          </w:rPr>
          <w:tab/>
        </w:r>
        <w:r w:rsidR="007E0649">
          <w:rPr>
            <w:noProof/>
            <w:webHidden/>
          </w:rPr>
          <w:fldChar w:fldCharType="begin"/>
        </w:r>
        <w:r w:rsidR="007E0649">
          <w:rPr>
            <w:noProof/>
            <w:webHidden/>
          </w:rPr>
          <w:instrText xml:space="preserve"> PAGEREF _Toc147998788 \h </w:instrText>
        </w:r>
        <w:r w:rsidR="007E0649">
          <w:rPr>
            <w:noProof/>
            <w:webHidden/>
          </w:rPr>
        </w:r>
        <w:r w:rsidR="007E0649">
          <w:rPr>
            <w:noProof/>
            <w:webHidden/>
          </w:rPr>
          <w:fldChar w:fldCharType="separate"/>
        </w:r>
        <w:r w:rsidR="007E0649">
          <w:rPr>
            <w:noProof/>
            <w:webHidden/>
          </w:rPr>
          <w:t>5</w:t>
        </w:r>
        <w:r w:rsidR="007E0649">
          <w:rPr>
            <w:noProof/>
            <w:webHidden/>
          </w:rPr>
          <w:fldChar w:fldCharType="end"/>
        </w:r>
      </w:hyperlink>
    </w:p>
    <w:p w14:paraId="285AB8F2" w14:textId="4C2E7A8D"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89" w:history="1">
        <w:r w:rsidR="007E0649" w:rsidRPr="0049538C">
          <w:rPr>
            <w:rStyle w:val="Hyperlink"/>
            <w:noProof/>
          </w:rPr>
          <w:t>7.</w:t>
        </w:r>
        <w:r w:rsidR="007E0649">
          <w:rPr>
            <w:rFonts w:eastAsiaTheme="minorEastAsia"/>
            <w:b w:val="0"/>
            <w:noProof/>
            <w:color w:val="auto"/>
            <w:kern w:val="2"/>
            <w:lang w:eastAsia="en-GB"/>
            <w14:ligatures w14:val="standardContextual"/>
          </w:rPr>
          <w:tab/>
        </w:r>
        <w:r w:rsidR="007E0649" w:rsidRPr="0049538C">
          <w:rPr>
            <w:rStyle w:val="Hyperlink"/>
            <w:noProof/>
          </w:rPr>
          <w:t>Best Practice when Sharing Client Information</w:t>
        </w:r>
        <w:r w:rsidR="007E0649">
          <w:rPr>
            <w:noProof/>
            <w:webHidden/>
          </w:rPr>
          <w:tab/>
        </w:r>
        <w:r w:rsidR="007E0649">
          <w:rPr>
            <w:noProof/>
            <w:webHidden/>
          </w:rPr>
          <w:fldChar w:fldCharType="begin"/>
        </w:r>
        <w:r w:rsidR="007E0649">
          <w:rPr>
            <w:noProof/>
            <w:webHidden/>
          </w:rPr>
          <w:instrText xml:space="preserve"> PAGEREF _Toc147998789 \h </w:instrText>
        </w:r>
        <w:r w:rsidR="007E0649">
          <w:rPr>
            <w:noProof/>
            <w:webHidden/>
          </w:rPr>
        </w:r>
        <w:r w:rsidR="007E0649">
          <w:rPr>
            <w:noProof/>
            <w:webHidden/>
          </w:rPr>
          <w:fldChar w:fldCharType="separate"/>
        </w:r>
        <w:r w:rsidR="007E0649">
          <w:rPr>
            <w:noProof/>
            <w:webHidden/>
          </w:rPr>
          <w:t>6</w:t>
        </w:r>
        <w:r w:rsidR="007E0649">
          <w:rPr>
            <w:noProof/>
            <w:webHidden/>
          </w:rPr>
          <w:fldChar w:fldCharType="end"/>
        </w:r>
      </w:hyperlink>
    </w:p>
    <w:p w14:paraId="3B75E9B1" w14:textId="58B744DE"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90" w:history="1">
        <w:r w:rsidR="007E0649" w:rsidRPr="0049538C">
          <w:rPr>
            <w:rStyle w:val="Hyperlink"/>
            <w:noProof/>
          </w:rPr>
          <w:t>8.</w:t>
        </w:r>
        <w:r w:rsidR="007E0649">
          <w:rPr>
            <w:rFonts w:eastAsiaTheme="minorEastAsia"/>
            <w:b w:val="0"/>
            <w:noProof/>
            <w:color w:val="auto"/>
            <w:kern w:val="2"/>
            <w:lang w:eastAsia="en-GB"/>
            <w14:ligatures w14:val="standardContextual"/>
          </w:rPr>
          <w:tab/>
        </w:r>
        <w:r w:rsidR="007E0649" w:rsidRPr="0049538C">
          <w:rPr>
            <w:rStyle w:val="Hyperlink"/>
            <w:noProof/>
          </w:rPr>
          <w:t>Caldicott Guardian</w:t>
        </w:r>
        <w:r w:rsidR="007E0649">
          <w:rPr>
            <w:noProof/>
            <w:webHidden/>
          </w:rPr>
          <w:tab/>
        </w:r>
        <w:r w:rsidR="007E0649">
          <w:rPr>
            <w:noProof/>
            <w:webHidden/>
          </w:rPr>
          <w:fldChar w:fldCharType="begin"/>
        </w:r>
        <w:r w:rsidR="007E0649">
          <w:rPr>
            <w:noProof/>
            <w:webHidden/>
          </w:rPr>
          <w:instrText xml:space="preserve"> PAGEREF _Toc147998790 \h </w:instrText>
        </w:r>
        <w:r w:rsidR="007E0649">
          <w:rPr>
            <w:noProof/>
            <w:webHidden/>
          </w:rPr>
        </w:r>
        <w:r w:rsidR="007E0649">
          <w:rPr>
            <w:noProof/>
            <w:webHidden/>
          </w:rPr>
          <w:fldChar w:fldCharType="separate"/>
        </w:r>
        <w:r w:rsidR="007E0649">
          <w:rPr>
            <w:noProof/>
            <w:webHidden/>
          </w:rPr>
          <w:t>7</w:t>
        </w:r>
        <w:r w:rsidR="007E0649">
          <w:rPr>
            <w:noProof/>
            <w:webHidden/>
          </w:rPr>
          <w:fldChar w:fldCharType="end"/>
        </w:r>
      </w:hyperlink>
    </w:p>
    <w:p w14:paraId="3592F39C" w14:textId="66008D2A" w:rsidR="007E0649" w:rsidRDefault="00000000">
      <w:pPr>
        <w:pStyle w:val="TOC1"/>
        <w:tabs>
          <w:tab w:val="left" w:pos="440"/>
          <w:tab w:val="right" w:leader="dot" w:pos="9016"/>
        </w:tabs>
        <w:rPr>
          <w:rFonts w:eastAsiaTheme="minorEastAsia"/>
          <w:b w:val="0"/>
          <w:noProof/>
          <w:color w:val="auto"/>
          <w:kern w:val="2"/>
          <w:lang w:eastAsia="en-GB"/>
          <w14:ligatures w14:val="standardContextual"/>
        </w:rPr>
      </w:pPr>
      <w:hyperlink w:anchor="_Toc147998791" w:history="1">
        <w:r w:rsidR="007E0649" w:rsidRPr="0049538C">
          <w:rPr>
            <w:rStyle w:val="Hyperlink"/>
            <w:noProof/>
          </w:rPr>
          <w:t>9.</w:t>
        </w:r>
        <w:r w:rsidR="007E0649">
          <w:rPr>
            <w:rFonts w:eastAsiaTheme="minorEastAsia"/>
            <w:b w:val="0"/>
            <w:noProof/>
            <w:color w:val="auto"/>
            <w:kern w:val="2"/>
            <w:lang w:eastAsia="en-GB"/>
            <w14:ligatures w14:val="standardContextual"/>
          </w:rPr>
          <w:tab/>
        </w:r>
        <w:r w:rsidR="007E0649" w:rsidRPr="0049538C">
          <w:rPr>
            <w:rStyle w:val="Hyperlink"/>
            <w:noProof/>
          </w:rPr>
          <w:t>Legal Considerations</w:t>
        </w:r>
        <w:r w:rsidR="007E0649">
          <w:rPr>
            <w:noProof/>
            <w:webHidden/>
          </w:rPr>
          <w:tab/>
        </w:r>
        <w:r w:rsidR="007E0649">
          <w:rPr>
            <w:noProof/>
            <w:webHidden/>
          </w:rPr>
          <w:fldChar w:fldCharType="begin"/>
        </w:r>
        <w:r w:rsidR="007E0649">
          <w:rPr>
            <w:noProof/>
            <w:webHidden/>
          </w:rPr>
          <w:instrText xml:space="preserve"> PAGEREF _Toc147998791 \h </w:instrText>
        </w:r>
        <w:r w:rsidR="007E0649">
          <w:rPr>
            <w:noProof/>
            <w:webHidden/>
          </w:rPr>
        </w:r>
        <w:r w:rsidR="007E0649">
          <w:rPr>
            <w:noProof/>
            <w:webHidden/>
          </w:rPr>
          <w:fldChar w:fldCharType="separate"/>
        </w:r>
        <w:r w:rsidR="007E0649">
          <w:rPr>
            <w:noProof/>
            <w:webHidden/>
          </w:rPr>
          <w:t>9</w:t>
        </w:r>
        <w:r w:rsidR="007E0649">
          <w:rPr>
            <w:noProof/>
            <w:webHidden/>
          </w:rPr>
          <w:fldChar w:fldCharType="end"/>
        </w:r>
      </w:hyperlink>
    </w:p>
    <w:p w14:paraId="61986603" w14:textId="5C0A3E2C"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2" w:history="1">
        <w:r w:rsidR="007E0649" w:rsidRPr="0049538C">
          <w:rPr>
            <w:rStyle w:val="Hyperlink"/>
            <w:noProof/>
          </w:rPr>
          <w:t>10.</w:t>
        </w:r>
        <w:r w:rsidR="007E0649">
          <w:rPr>
            <w:rFonts w:eastAsiaTheme="minorEastAsia"/>
            <w:b w:val="0"/>
            <w:noProof/>
            <w:color w:val="auto"/>
            <w:kern w:val="2"/>
            <w:lang w:eastAsia="en-GB"/>
            <w14:ligatures w14:val="standardContextual"/>
          </w:rPr>
          <w:tab/>
        </w:r>
        <w:r w:rsidR="007E0649" w:rsidRPr="0049538C">
          <w:rPr>
            <w:rStyle w:val="Hyperlink"/>
            <w:noProof/>
          </w:rPr>
          <w:t>Direct Care and Informing Clients Effectively</w:t>
        </w:r>
        <w:r w:rsidR="007E0649">
          <w:rPr>
            <w:noProof/>
            <w:webHidden/>
          </w:rPr>
          <w:tab/>
        </w:r>
        <w:r w:rsidR="007E0649">
          <w:rPr>
            <w:noProof/>
            <w:webHidden/>
          </w:rPr>
          <w:fldChar w:fldCharType="begin"/>
        </w:r>
        <w:r w:rsidR="007E0649">
          <w:rPr>
            <w:noProof/>
            <w:webHidden/>
          </w:rPr>
          <w:instrText xml:space="preserve"> PAGEREF _Toc147998792 \h </w:instrText>
        </w:r>
        <w:r w:rsidR="007E0649">
          <w:rPr>
            <w:noProof/>
            <w:webHidden/>
          </w:rPr>
        </w:r>
        <w:r w:rsidR="007E0649">
          <w:rPr>
            <w:noProof/>
            <w:webHidden/>
          </w:rPr>
          <w:fldChar w:fldCharType="separate"/>
        </w:r>
        <w:r w:rsidR="007E0649">
          <w:rPr>
            <w:noProof/>
            <w:webHidden/>
          </w:rPr>
          <w:t>10</w:t>
        </w:r>
        <w:r w:rsidR="007E0649">
          <w:rPr>
            <w:noProof/>
            <w:webHidden/>
          </w:rPr>
          <w:fldChar w:fldCharType="end"/>
        </w:r>
      </w:hyperlink>
    </w:p>
    <w:p w14:paraId="2E8E5FBA" w14:textId="0C34A2AE"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3" w:history="1">
        <w:r w:rsidR="007E0649" w:rsidRPr="0049538C">
          <w:rPr>
            <w:rStyle w:val="Hyperlink"/>
            <w:noProof/>
          </w:rPr>
          <w:t>11.</w:t>
        </w:r>
        <w:r w:rsidR="007E0649">
          <w:rPr>
            <w:rFonts w:eastAsiaTheme="minorEastAsia"/>
            <w:b w:val="0"/>
            <w:noProof/>
            <w:color w:val="auto"/>
            <w:kern w:val="2"/>
            <w:lang w:eastAsia="en-GB"/>
            <w14:ligatures w14:val="standardContextual"/>
          </w:rPr>
          <w:tab/>
        </w:r>
        <w:r w:rsidR="007E0649" w:rsidRPr="0049538C">
          <w:rPr>
            <w:rStyle w:val="Hyperlink"/>
            <w:noProof/>
          </w:rPr>
          <w:t>Client Consent Cannot be Obtained</w:t>
        </w:r>
        <w:r w:rsidR="007E0649">
          <w:rPr>
            <w:noProof/>
            <w:webHidden/>
          </w:rPr>
          <w:tab/>
        </w:r>
        <w:r w:rsidR="007E0649">
          <w:rPr>
            <w:noProof/>
            <w:webHidden/>
          </w:rPr>
          <w:fldChar w:fldCharType="begin"/>
        </w:r>
        <w:r w:rsidR="007E0649">
          <w:rPr>
            <w:noProof/>
            <w:webHidden/>
          </w:rPr>
          <w:instrText xml:space="preserve"> PAGEREF _Toc147998793 \h </w:instrText>
        </w:r>
        <w:r w:rsidR="007E0649">
          <w:rPr>
            <w:noProof/>
            <w:webHidden/>
          </w:rPr>
        </w:r>
        <w:r w:rsidR="007E0649">
          <w:rPr>
            <w:noProof/>
            <w:webHidden/>
          </w:rPr>
          <w:fldChar w:fldCharType="separate"/>
        </w:r>
        <w:r w:rsidR="007E0649">
          <w:rPr>
            <w:noProof/>
            <w:webHidden/>
          </w:rPr>
          <w:t>11</w:t>
        </w:r>
        <w:r w:rsidR="007E0649">
          <w:rPr>
            <w:noProof/>
            <w:webHidden/>
          </w:rPr>
          <w:fldChar w:fldCharType="end"/>
        </w:r>
      </w:hyperlink>
    </w:p>
    <w:p w14:paraId="26FB25DC" w14:textId="29E80686"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4" w:history="1">
        <w:r w:rsidR="007E0649" w:rsidRPr="0049538C">
          <w:rPr>
            <w:rStyle w:val="Hyperlink"/>
            <w:noProof/>
          </w:rPr>
          <w:t>12.</w:t>
        </w:r>
        <w:r w:rsidR="007E0649">
          <w:rPr>
            <w:rFonts w:eastAsiaTheme="minorEastAsia"/>
            <w:b w:val="0"/>
            <w:noProof/>
            <w:color w:val="auto"/>
            <w:kern w:val="2"/>
            <w:lang w:eastAsia="en-GB"/>
            <w14:ligatures w14:val="standardContextual"/>
          </w:rPr>
          <w:tab/>
        </w:r>
        <w:r w:rsidR="007E0649" w:rsidRPr="0049538C">
          <w:rPr>
            <w:rStyle w:val="Hyperlink"/>
            <w:noProof/>
          </w:rPr>
          <w:t>Anonymisation/Pseudonymisation</w:t>
        </w:r>
        <w:r w:rsidR="007E0649">
          <w:rPr>
            <w:noProof/>
            <w:webHidden/>
          </w:rPr>
          <w:tab/>
        </w:r>
        <w:r w:rsidR="007E0649">
          <w:rPr>
            <w:noProof/>
            <w:webHidden/>
          </w:rPr>
          <w:fldChar w:fldCharType="begin"/>
        </w:r>
        <w:r w:rsidR="007E0649">
          <w:rPr>
            <w:noProof/>
            <w:webHidden/>
          </w:rPr>
          <w:instrText xml:space="preserve"> PAGEREF _Toc147998794 \h </w:instrText>
        </w:r>
        <w:r w:rsidR="007E0649">
          <w:rPr>
            <w:noProof/>
            <w:webHidden/>
          </w:rPr>
        </w:r>
        <w:r w:rsidR="007E0649">
          <w:rPr>
            <w:noProof/>
            <w:webHidden/>
          </w:rPr>
          <w:fldChar w:fldCharType="separate"/>
        </w:r>
        <w:r w:rsidR="007E0649">
          <w:rPr>
            <w:noProof/>
            <w:webHidden/>
          </w:rPr>
          <w:t>12</w:t>
        </w:r>
        <w:r w:rsidR="007E0649">
          <w:rPr>
            <w:noProof/>
            <w:webHidden/>
          </w:rPr>
          <w:fldChar w:fldCharType="end"/>
        </w:r>
      </w:hyperlink>
    </w:p>
    <w:p w14:paraId="0BE820BF" w14:textId="7D747298"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5" w:history="1">
        <w:r w:rsidR="007E0649" w:rsidRPr="0049538C">
          <w:rPr>
            <w:rStyle w:val="Hyperlink"/>
            <w:noProof/>
          </w:rPr>
          <w:t>13.</w:t>
        </w:r>
        <w:r w:rsidR="007E0649">
          <w:rPr>
            <w:rFonts w:eastAsiaTheme="minorEastAsia"/>
            <w:b w:val="0"/>
            <w:noProof/>
            <w:color w:val="auto"/>
            <w:kern w:val="2"/>
            <w:lang w:eastAsia="en-GB"/>
            <w14:ligatures w14:val="standardContextual"/>
          </w:rPr>
          <w:tab/>
        </w:r>
        <w:r w:rsidR="007E0649" w:rsidRPr="0049538C">
          <w:rPr>
            <w:rStyle w:val="Hyperlink"/>
            <w:noProof/>
          </w:rPr>
          <w:t>Client’s Rights of Access to their Own Records</w:t>
        </w:r>
        <w:r w:rsidR="007E0649">
          <w:rPr>
            <w:noProof/>
            <w:webHidden/>
          </w:rPr>
          <w:tab/>
        </w:r>
        <w:r w:rsidR="007E0649">
          <w:rPr>
            <w:noProof/>
            <w:webHidden/>
          </w:rPr>
          <w:fldChar w:fldCharType="begin"/>
        </w:r>
        <w:r w:rsidR="007E0649">
          <w:rPr>
            <w:noProof/>
            <w:webHidden/>
          </w:rPr>
          <w:instrText xml:space="preserve"> PAGEREF _Toc147998795 \h </w:instrText>
        </w:r>
        <w:r w:rsidR="007E0649">
          <w:rPr>
            <w:noProof/>
            <w:webHidden/>
          </w:rPr>
        </w:r>
        <w:r w:rsidR="007E0649">
          <w:rPr>
            <w:noProof/>
            <w:webHidden/>
          </w:rPr>
          <w:fldChar w:fldCharType="separate"/>
        </w:r>
        <w:r w:rsidR="007E0649">
          <w:rPr>
            <w:noProof/>
            <w:webHidden/>
          </w:rPr>
          <w:t>13</w:t>
        </w:r>
        <w:r w:rsidR="007E0649">
          <w:rPr>
            <w:noProof/>
            <w:webHidden/>
          </w:rPr>
          <w:fldChar w:fldCharType="end"/>
        </w:r>
      </w:hyperlink>
    </w:p>
    <w:p w14:paraId="633CFF39" w14:textId="57906B0B"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6" w:history="1">
        <w:r w:rsidR="007E0649" w:rsidRPr="0049538C">
          <w:rPr>
            <w:rStyle w:val="Hyperlink"/>
            <w:noProof/>
          </w:rPr>
          <w:t>14.</w:t>
        </w:r>
        <w:r w:rsidR="007E0649">
          <w:rPr>
            <w:rFonts w:eastAsiaTheme="minorEastAsia"/>
            <w:b w:val="0"/>
            <w:noProof/>
            <w:color w:val="auto"/>
            <w:kern w:val="2"/>
            <w:lang w:eastAsia="en-GB"/>
            <w14:ligatures w14:val="standardContextual"/>
          </w:rPr>
          <w:tab/>
        </w:r>
        <w:r w:rsidR="007E0649" w:rsidRPr="0049538C">
          <w:rPr>
            <w:rStyle w:val="Hyperlink"/>
            <w:noProof/>
          </w:rPr>
          <w:t>Third Party Access to Client’s Records Following Client’s Death</w:t>
        </w:r>
        <w:r w:rsidR="007E0649">
          <w:rPr>
            <w:noProof/>
            <w:webHidden/>
          </w:rPr>
          <w:tab/>
        </w:r>
        <w:r w:rsidR="007E0649">
          <w:rPr>
            <w:noProof/>
            <w:webHidden/>
          </w:rPr>
          <w:fldChar w:fldCharType="begin"/>
        </w:r>
        <w:r w:rsidR="007E0649">
          <w:rPr>
            <w:noProof/>
            <w:webHidden/>
          </w:rPr>
          <w:instrText xml:space="preserve"> PAGEREF _Toc147998796 \h </w:instrText>
        </w:r>
        <w:r w:rsidR="007E0649">
          <w:rPr>
            <w:noProof/>
            <w:webHidden/>
          </w:rPr>
        </w:r>
        <w:r w:rsidR="007E0649">
          <w:rPr>
            <w:noProof/>
            <w:webHidden/>
          </w:rPr>
          <w:fldChar w:fldCharType="separate"/>
        </w:r>
        <w:r w:rsidR="007E0649">
          <w:rPr>
            <w:noProof/>
            <w:webHidden/>
          </w:rPr>
          <w:t>13</w:t>
        </w:r>
        <w:r w:rsidR="007E0649">
          <w:rPr>
            <w:noProof/>
            <w:webHidden/>
          </w:rPr>
          <w:fldChar w:fldCharType="end"/>
        </w:r>
      </w:hyperlink>
    </w:p>
    <w:p w14:paraId="3618249F" w14:textId="546739E3"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7" w:history="1">
        <w:r w:rsidR="007E0649" w:rsidRPr="0049538C">
          <w:rPr>
            <w:rStyle w:val="Hyperlink"/>
            <w:noProof/>
          </w:rPr>
          <w:t>15.</w:t>
        </w:r>
        <w:r w:rsidR="007E0649">
          <w:rPr>
            <w:rFonts w:eastAsiaTheme="minorEastAsia"/>
            <w:b w:val="0"/>
            <w:noProof/>
            <w:color w:val="auto"/>
            <w:kern w:val="2"/>
            <w:lang w:eastAsia="en-GB"/>
            <w14:ligatures w14:val="standardContextual"/>
          </w:rPr>
          <w:tab/>
        </w:r>
        <w:r w:rsidR="007E0649" w:rsidRPr="0049538C">
          <w:rPr>
            <w:rStyle w:val="Hyperlink"/>
            <w:noProof/>
          </w:rPr>
          <w:t>Training Requirements</w:t>
        </w:r>
        <w:r w:rsidR="007E0649">
          <w:rPr>
            <w:noProof/>
            <w:webHidden/>
          </w:rPr>
          <w:tab/>
        </w:r>
        <w:r w:rsidR="007E0649">
          <w:rPr>
            <w:noProof/>
            <w:webHidden/>
          </w:rPr>
          <w:fldChar w:fldCharType="begin"/>
        </w:r>
        <w:r w:rsidR="007E0649">
          <w:rPr>
            <w:noProof/>
            <w:webHidden/>
          </w:rPr>
          <w:instrText xml:space="preserve"> PAGEREF _Toc147998797 \h </w:instrText>
        </w:r>
        <w:r w:rsidR="007E0649">
          <w:rPr>
            <w:noProof/>
            <w:webHidden/>
          </w:rPr>
        </w:r>
        <w:r w:rsidR="007E0649">
          <w:rPr>
            <w:noProof/>
            <w:webHidden/>
          </w:rPr>
          <w:fldChar w:fldCharType="separate"/>
        </w:r>
        <w:r w:rsidR="007E0649">
          <w:rPr>
            <w:noProof/>
            <w:webHidden/>
          </w:rPr>
          <w:t>14</w:t>
        </w:r>
        <w:r w:rsidR="007E0649">
          <w:rPr>
            <w:noProof/>
            <w:webHidden/>
          </w:rPr>
          <w:fldChar w:fldCharType="end"/>
        </w:r>
      </w:hyperlink>
    </w:p>
    <w:p w14:paraId="5741A55A" w14:textId="6BB102FC"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8" w:history="1">
        <w:r w:rsidR="007E0649" w:rsidRPr="0049538C">
          <w:rPr>
            <w:rStyle w:val="Hyperlink"/>
            <w:noProof/>
          </w:rPr>
          <w:t>16.</w:t>
        </w:r>
        <w:r w:rsidR="007E0649">
          <w:rPr>
            <w:rFonts w:eastAsiaTheme="minorEastAsia"/>
            <w:b w:val="0"/>
            <w:noProof/>
            <w:color w:val="auto"/>
            <w:kern w:val="2"/>
            <w:lang w:eastAsia="en-GB"/>
            <w14:ligatures w14:val="standardContextual"/>
          </w:rPr>
          <w:tab/>
        </w:r>
        <w:r w:rsidR="007E0649" w:rsidRPr="0049538C">
          <w:rPr>
            <w:rStyle w:val="Hyperlink"/>
            <w:noProof/>
          </w:rPr>
          <w:t>Monitoring</w:t>
        </w:r>
        <w:r w:rsidR="007E0649">
          <w:rPr>
            <w:noProof/>
            <w:webHidden/>
          </w:rPr>
          <w:tab/>
        </w:r>
        <w:r w:rsidR="007E0649">
          <w:rPr>
            <w:noProof/>
            <w:webHidden/>
          </w:rPr>
          <w:fldChar w:fldCharType="begin"/>
        </w:r>
        <w:r w:rsidR="007E0649">
          <w:rPr>
            <w:noProof/>
            <w:webHidden/>
          </w:rPr>
          <w:instrText xml:space="preserve"> PAGEREF _Toc147998798 \h </w:instrText>
        </w:r>
        <w:r w:rsidR="007E0649">
          <w:rPr>
            <w:noProof/>
            <w:webHidden/>
          </w:rPr>
        </w:r>
        <w:r w:rsidR="007E0649">
          <w:rPr>
            <w:noProof/>
            <w:webHidden/>
          </w:rPr>
          <w:fldChar w:fldCharType="separate"/>
        </w:r>
        <w:r w:rsidR="007E0649">
          <w:rPr>
            <w:noProof/>
            <w:webHidden/>
          </w:rPr>
          <w:t>14</w:t>
        </w:r>
        <w:r w:rsidR="007E0649">
          <w:rPr>
            <w:noProof/>
            <w:webHidden/>
          </w:rPr>
          <w:fldChar w:fldCharType="end"/>
        </w:r>
      </w:hyperlink>
    </w:p>
    <w:p w14:paraId="0C715360" w14:textId="24F014B7"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799" w:history="1">
        <w:r w:rsidR="007E0649" w:rsidRPr="0049538C">
          <w:rPr>
            <w:rStyle w:val="Hyperlink"/>
            <w:noProof/>
          </w:rPr>
          <w:t>17.</w:t>
        </w:r>
        <w:r w:rsidR="007E0649">
          <w:rPr>
            <w:rFonts w:eastAsiaTheme="minorEastAsia"/>
            <w:b w:val="0"/>
            <w:noProof/>
            <w:color w:val="auto"/>
            <w:kern w:val="2"/>
            <w:lang w:eastAsia="en-GB"/>
            <w14:ligatures w14:val="standardContextual"/>
          </w:rPr>
          <w:tab/>
        </w:r>
        <w:r w:rsidR="007E0649" w:rsidRPr="0049538C">
          <w:rPr>
            <w:rStyle w:val="Hyperlink"/>
            <w:noProof/>
          </w:rPr>
          <w:t>Related Policies</w:t>
        </w:r>
        <w:r w:rsidR="007E0649">
          <w:rPr>
            <w:noProof/>
            <w:webHidden/>
          </w:rPr>
          <w:tab/>
        </w:r>
        <w:r w:rsidR="007E0649">
          <w:rPr>
            <w:noProof/>
            <w:webHidden/>
          </w:rPr>
          <w:fldChar w:fldCharType="begin"/>
        </w:r>
        <w:r w:rsidR="007E0649">
          <w:rPr>
            <w:noProof/>
            <w:webHidden/>
          </w:rPr>
          <w:instrText xml:space="preserve"> PAGEREF _Toc147998799 \h </w:instrText>
        </w:r>
        <w:r w:rsidR="007E0649">
          <w:rPr>
            <w:noProof/>
            <w:webHidden/>
          </w:rPr>
        </w:r>
        <w:r w:rsidR="007E0649">
          <w:rPr>
            <w:noProof/>
            <w:webHidden/>
          </w:rPr>
          <w:fldChar w:fldCharType="separate"/>
        </w:r>
        <w:r w:rsidR="007E0649">
          <w:rPr>
            <w:noProof/>
            <w:webHidden/>
          </w:rPr>
          <w:t>15</w:t>
        </w:r>
        <w:r w:rsidR="007E0649">
          <w:rPr>
            <w:noProof/>
            <w:webHidden/>
          </w:rPr>
          <w:fldChar w:fldCharType="end"/>
        </w:r>
      </w:hyperlink>
    </w:p>
    <w:p w14:paraId="72985001" w14:textId="5D6EFA95"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800" w:history="1">
        <w:r w:rsidR="007E0649" w:rsidRPr="0049538C">
          <w:rPr>
            <w:rStyle w:val="Hyperlink"/>
            <w:noProof/>
          </w:rPr>
          <w:t>18.</w:t>
        </w:r>
        <w:r w:rsidR="007E0649">
          <w:rPr>
            <w:rFonts w:eastAsiaTheme="minorEastAsia"/>
            <w:b w:val="0"/>
            <w:noProof/>
            <w:color w:val="auto"/>
            <w:kern w:val="2"/>
            <w:lang w:eastAsia="en-GB"/>
            <w14:ligatures w14:val="standardContextual"/>
          </w:rPr>
          <w:tab/>
        </w:r>
        <w:r w:rsidR="007E0649" w:rsidRPr="0049538C">
          <w:rPr>
            <w:rStyle w:val="Hyperlink"/>
            <w:noProof/>
          </w:rPr>
          <w:t>Legislation and Guidance</w:t>
        </w:r>
        <w:r w:rsidR="007E0649">
          <w:rPr>
            <w:noProof/>
            <w:webHidden/>
          </w:rPr>
          <w:tab/>
        </w:r>
        <w:r w:rsidR="007E0649">
          <w:rPr>
            <w:noProof/>
            <w:webHidden/>
          </w:rPr>
          <w:fldChar w:fldCharType="begin"/>
        </w:r>
        <w:r w:rsidR="007E0649">
          <w:rPr>
            <w:noProof/>
            <w:webHidden/>
          </w:rPr>
          <w:instrText xml:space="preserve"> PAGEREF _Toc147998800 \h </w:instrText>
        </w:r>
        <w:r w:rsidR="007E0649">
          <w:rPr>
            <w:noProof/>
            <w:webHidden/>
          </w:rPr>
        </w:r>
        <w:r w:rsidR="007E0649">
          <w:rPr>
            <w:noProof/>
            <w:webHidden/>
          </w:rPr>
          <w:fldChar w:fldCharType="separate"/>
        </w:r>
        <w:r w:rsidR="007E0649">
          <w:rPr>
            <w:noProof/>
            <w:webHidden/>
          </w:rPr>
          <w:t>15</w:t>
        </w:r>
        <w:r w:rsidR="007E0649">
          <w:rPr>
            <w:noProof/>
            <w:webHidden/>
          </w:rPr>
          <w:fldChar w:fldCharType="end"/>
        </w:r>
      </w:hyperlink>
    </w:p>
    <w:p w14:paraId="5842372A" w14:textId="4FF3B830" w:rsidR="007E0649" w:rsidRDefault="00000000">
      <w:pPr>
        <w:pStyle w:val="TOC1"/>
        <w:tabs>
          <w:tab w:val="left" w:pos="660"/>
          <w:tab w:val="right" w:leader="dot" w:pos="9016"/>
        </w:tabs>
        <w:rPr>
          <w:rFonts w:eastAsiaTheme="minorEastAsia"/>
          <w:b w:val="0"/>
          <w:noProof/>
          <w:color w:val="auto"/>
          <w:kern w:val="2"/>
          <w:lang w:eastAsia="en-GB"/>
          <w14:ligatures w14:val="standardContextual"/>
        </w:rPr>
      </w:pPr>
      <w:hyperlink w:anchor="_Toc147998801" w:history="1">
        <w:r w:rsidR="007E0649" w:rsidRPr="0049538C">
          <w:rPr>
            <w:rStyle w:val="Hyperlink"/>
            <w:noProof/>
          </w:rPr>
          <w:t>19.</w:t>
        </w:r>
        <w:r w:rsidR="007E0649">
          <w:rPr>
            <w:rFonts w:eastAsiaTheme="minorEastAsia"/>
            <w:b w:val="0"/>
            <w:noProof/>
            <w:color w:val="auto"/>
            <w:kern w:val="2"/>
            <w:lang w:eastAsia="en-GB"/>
            <w14:ligatures w14:val="standardContextual"/>
          </w:rPr>
          <w:tab/>
        </w:r>
        <w:r w:rsidR="007E0649" w:rsidRPr="0049538C">
          <w:rPr>
            <w:rStyle w:val="Hyperlink"/>
            <w:noProof/>
          </w:rPr>
          <w:t>Summary of Review</w:t>
        </w:r>
        <w:r w:rsidR="007E0649">
          <w:rPr>
            <w:noProof/>
            <w:webHidden/>
          </w:rPr>
          <w:tab/>
        </w:r>
        <w:r w:rsidR="007E0649">
          <w:rPr>
            <w:noProof/>
            <w:webHidden/>
          </w:rPr>
          <w:fldChar w:fldCharType="begin"/>
        </w:r>
        <w:r w:rsidR="007E0649">
          <w:rPr>
            <w:noProof/>
            <w:webHidden/>
          </w:rPr>
          <w:instrText xml:space="preserve"> PAGEREF _Toc147998801 \h </w:instrText>
        </w:r>
        <w:r w:rsidR="007E0649">
          <w:rPr>
            <w:noProof/>
            <w:webHidden/>
          </w:rPr>
        </w:r>
        <w:r w:rsidR="007E0649">
          <w:rPr>
            <w:noProof/>
            <w:webHidden/>
          </w:rPr>
          <w:fldChar w:fldCharType="separate"/>
        </w:r>
        <w:r w:rsidR="007E0649">
          <w:rPr>
            <w:noProof/>
            <w:webHidden/>
          </w:rPr>
          <w:t>16</w:t>
        </w:r>
        <w:r w:rsidR="007E0649">
          <w:rPr>
            <w:noProof/>
            <w:webHidden/>
          </w:rPr>
          <w:fldChar w:fldCharType="end"/>
        </w:r>
      </w:hyperlink>
    </w:p>
    <w:p w14:paraId="48E7A5DF" w14:textId="7F4B2962" w:rsidR="0019796E" w:rsidRDefault="00877C5C">
      <w:pPr>
        <w:rPr>
          <w:rFonts w:ascii="Open Sans" w:eastAsia="Times New Roman" w:hAnsi="Open Sans" w:cs="Open Sans"/>
          <w:b/>
          <w:color w:val="264467"/>
          <w:sz w:val="36"/>
          <w:szCs w:val="32"/>
        </w:rPr>
      </w:pPr>
      <w:r w:rsidRPr="008071C6">
        <w:rPr>
          <w:rFonts w:ascii="Open Sans" w:hAnsi="Open Sans" w:cs="Open Sans"/>
          <w:color w:val="264467"/>
        </w:rPr>
        <w:fldChar w:fldCharType="end"/>
      </w:r>
      <w:r w:rsidR="0019796E">
        <w:br w:type="page"/>
      </w:r>
    </w:p>
    <w:p w14:paraId="79D33D31" w14:textId="77777777" w:rsidR="00F13E76" w:rsidRPr="000269C5" w:rsidRDefault="00127C42" w:rsidP="000269C5">
      <w:pPr>
        <w:pStyle w:val="Heading1"/>
      </w:pPr>
      <w:bookmarkStart w:id="0" w:name="_Toc147998783"/>
      <w:r w:rsidRPr="000269C5">
        <w:lastRenderedPageBreak/>
        <w:t>Introduction</w:t>
      </w:r>
      <w:bookmarkEnd w:id="0"/>
    </w:p>
    <w:p w14:paraId="37DF7132" w14:textId="77777777" w:rsidR="008A46AA" w:rsidRPr="008A46AA" w:rsidRDefault="008A46AA" w:rsidP="008A46AA">
      <w:pPr>
        <w:jc w:val="both"/>
        <w:rPr>
          <w:rFonts w:ascii="Open Sans" w:hAnsi="Open Sans"/>
          <w:color w:val="auto"/>
        </w:rPr>
      </w:pPr>
      <w:r w:rsidRPr="008A46AA">
        <w:rPr>
          <w:rFonts w:ascii="Open Sans" w:hAnsi="Open Sans"/>
          <w:color w:val="auto"/>
        </w:rPr>
        <w:t xml:space="preserve">All healthcare service providers have an ethical, legal and contractual duty to protect client confidentiality. Information sharing can help to improve the quality of care and treatment, but it must be governed by the legal and ethical framework that protects the interests of clients. </w:t>
      </w:r>
    </w:p>
    <w:p w14:paraId="12065053" w14:textId="77777777" w:rsidR="008A46AA" w:rsidRDefault="008A46AA" w:rsidP="008A46AA">
      <w:pPr>
        <w:jc w:val="both"/>
        <w:rPr>
          <w:rFonts w:ascii="Open Sans" w:hAnsi="Open Sans"/>
          <w:color w:val="auto"/>
        </w:rPr>
      </w:pPr>
      <w:r w:rsidRPr="008A46AA">
        <w:rPr>
          <w:rFonts w:ascii="Open Sans" w:hAnsi="Open Sans"/>
          <w:color w:val="auto"/>
        </w:rPr>
        <w:t>Clients entrust the healthcare providers with their personal information and expect us to respect their privacy and handle their information appropriately. Everyone should seek to ensure that protection of client confidentiality on collecting and sharing information is built into all healthcare to provide safe and effective care.</w:t>
      </w:r>
    </w:p>
    <w:p w14:paraId="17444CBB" w14:textId="77777777" w:rsidR="00481470" w:rsidRPr="008A46AA" w:rsidRDefault="00481470" w:rsidP="008A46AA">
      <w:pPr>
        <w:jc w:val="both"/>
        <w:rPr>
          <w:rFonts w:ascii="Open Sans" w:hAnsi="Open Sans"/>
          <w:color w:val="auto"/>
        </w:rPr>
      </w:pPr>
    </w:p>
    <w:p w14:paraId="32406DD6" w14:textId="77777777" w:rsidR="00F13E76" w:rsidRPr="000269C5" w:rsidRDefault="00127C42" w:rsidP="000269C5">
      <w:pPr>
        <w:pStyle w:val="Heading1"/>
      </w:pPr>
      <w:bookmarkStart w:id="1" w:name="_Toc147998784"/>
      <w:r w:rsidRPr="000269C5">
        <w:t>P</w:t>
      </w:r>
      <w:r w:rsidR="008B198D" w:rsidRPr="000269C5">
        <w:t>olicy Statement</w:t>
      </w:r>
      <w:bookmarkEnd w:id="1"/>
    </w:p>
    <w:p w14:paraId="6CC284A7" w14:textId="32F262B4" w:rsidR="00CD0BC9" w:rsidRPr="00CD0BC9" w:rsidRDefault="00CD0BC9" w:rsidP="00CD0BC9">
      <w:pPr>
        <w:rPr>
          <w:rFonts w:ascii="Open Sans" w:hAnsi="Open Sans"/>
          <w:color w:val="auto"/>
        </w:rPr>
      </w:pPr>
      <w:r w:rsidRPr="00CD0BC9">
        <w:rPr>
          <w:rFonts w:ascii="Open Sans" w:hAnsi="Open Sans"/>
          <w:color w:val="auto"/>
        </w:rPr>
        <w:t>This policy outlines the guiding principles for information sharing, based on legal and ethical requirements. It aims to provide a framework for the secure sharing of clients</w:t>
      </w:r>
      <w:r w:rsidR="00A87C38">
        <w:rPr>
          <w:rFonts w:ascii="Open Sans" w:hAnsi="Open Sans"/>
          <w:color w:val="auto"/>
        </w:rPr>
        <w:t>’</w:t>
      </w:r>
      <w:r w:rsidRPr="00CD0BC9">
        <w:rPr>
          <w:rFonts w:ascii="Open Sans" w:hAnsi="Open Sans"/>
          <w:color w:val="auto"/>
        </w:rPr>
        <w:t xml:space="preserve"> identifiable information between partner organisations and also covers wider issues of disclosing information to third parties.</w:t>
      </w:r>
    </w:p>
    <w:p w14:paraId="7D67F9AB" w14:textId="2FD6E669" w:rsidR="00CD0BC9" w:rsidRDefault="00CD0BC9" w:rsidP="00CD0BC9">
      <w:pPr>
        <w:jc w:val="both"/>
        <w:rPr>
          <w:rFonts w:ascii="Open Sans" w:hAnsi="Open Sans"/>
          <w:color w:val="auto"/>
        </w:rPr>
      </w:pPr>
      <w:r w:rsidRPr="00CD0BC9">
        <w:rPr>
          <w:rFonts w:ascii="Open Sans" w:hAnsi="Open Sans"/>
          <w:color w:val="auto"/>
        </w:rPr>
        <w:t xml:space="preserve">This policy sets out the standards and practice relating to confidentiality applicable to all staff members, who work for a healthcare service. This policy should be read in conjunction with </w:t>
      </w:r>
      <w:r w:rsidRPr="0019796E">
        <w:rPr>
          <w:rFonts w:ascii="Open Sans" w:hAnsi="Open Sans"/>
          <w:color w:val="auto"/>
        </w:rPr>
        <w:t xml:space="preserve">all of </w:t>
      </w:r>
      <w:sdt>
        <w:sdtPr>
          <w:rPr>
            <w:rFonts w:ascii="Open Sans" w:hAnsi="Open Sans"/>
            <w:color w:val="auto"/>
          </w:rPr>
          <w:tag w:val="HD:1.187.0.0:040ec43b-eba8-4def-b65a-4874f91a9236"/>
          <w:id w:val="1680920718"/>
          <w:placeholder>
            <w:docPart w:val="9839EA0B55DB4C6EAA7E8A92A44C1075"/>
          </w:placeholder>
        </w:sdtPr>
        <w:sdtContent>
          <w:r w:rsidR="00AA04EC">
            <w:rPr>
              <w:rFonts w:ascii="Open Sans" w:hAnsi="Open Sans"/>
              <w:noProof/>
              <w:color w:val="auto"/>
            </w:rPr>
            <w:t>[</w:t>
          </w:r>
          <w:r w:rsidR="00AA04EC" w:rsidRPr="00AA04EC">
            <w:rPr>
              <w:rFonts w:ascii="Open Sans" w:hAnsi="Open Sans"/>
              <w:noProof/>
              <w:color w:val="0000FF"/>
            </w:rPr>
            <w:t>Company Name</w:t>
          </w:r>
          <w:r w:rsidR="00AA04EC">
            <w:rPr>
              <w:rFonts w:ascii="Open Sans" w:hAnsi="Open Sans"/>
              <w:noProof/>
              <w:color w:val="auto"/>
            </w:rPr>
            <w:t>]</w:t>
          </w:r>
        </w:sdtContent>
      </w:sdt>
      <w:r w:rsidRPr="0019796E">
        <w:rPr>
          <w:rFonts w:ascii="Open Sans" w:hAnsi="Open Sans"/>
          <w:color w:val="auto"/>
        </w:rPr>
        <w:t>’s policies</w:t>
      </w:r>
      <w:r w:rsidRPr="00CD0BC9">
        <w:rPr>
          <w:rFonts w:ascii="Open Sans" w:hAnsi="Open Sans"/>
          <w:color w:val="auto"/>
        </w:rPr>
        <w:t xml:space="preserve"> and procedures, but in particular the Information Governance Policy. </w:t>
      </w:r>
    </w:p>
    <w:p w14:paraId="18E210D5" w14:textId="77777777" w:rsidR="00481470" w:rsidRPr="00CD0BC9" w:rsidRDefault="00481470" w:rsidP="00CD0BC9">
      <w:pPr>
        <w:jc w:val="both"/>
        <w:rPr>
          <w:rFonts w:ascii="Open Sans" w:hAnsi="Open Sans"/>
          <w:color w:val="auto"/>
        </w:rPr>
      </w:pPr>
    </w:p>
    <w:p w14:paraId="33AC6AA9" w14:textId="77777777" w:rsidR="00127C42" w:rsidRPr="002B681F" w:rsidRDefault="008B198D" w:rsidP="000269C5">
      <w:pPr>
        <w:pStyle w:val="Heading1"/>
      </w:pPr>
      <w:bookmarkStart w:id="2" w:name="_Toc147998785"/>
      <w:r w:rsidRPr="002B681F">
        <w:t>Scope</w:t>
      </w:r>
      <w:bookmarkEnd w:id="2"/>
    </w:p>
    <w:p w14:paraId="7884A078" w14:textId="34E66E4C" w:rsidR="00481470" w:rsidRPr="00481470" w:rsidRDefault="00481470" w:rsidP="00481470">
      <w:pPr>
        <w:jc w:val="both"/>
        <w:rPr>
          <w:rFonts w:ascii="Open Sans" w:hAnsi="Open Sans"/>
          <w:color w:val="auto"/>
        </w:rPr>
      </w:pPr>
      <w:r w:rsidRPr="00481470">
        <w:rPr>
          <w:rFonts w:ascii="Open Sans" w:hAnsi="Open Sans"/>
          <w:color w:val="auto"/>
        </w:rPr>
        <w:t xml:space="preserve">Staff members, students, volunteers and contractors, must be aware of and respect a client’s right to confidentiality and must comply with this premise to protect client confidentiality, which is built on best practice.  </w:t>
      </w:r>
    </w:p>
    <w:p w14:paraId="130D1BF3" w14:textId="07222B96" w:rsidR="00481470" w:rsidRPr="00481470" w:rsidRDefault="00481470" w:rsidP="00481470">
      <w:pPr>
        <w:jc w:val="both"/>
        <w:rPr>
          <w:rFonts w:ascii="Open Sans" w:hAnsi="Open Sans"/>
          <w:color w:val="auto"/>
        </w:rPr>
      </w:pPr>
      <w:r w:rsidRPr="00481470">
        <w:rPr>
          <w:rFonts w:ascii="Open Sans" w:hAnsi="Open Sans"/>
          <w:color w:val="auto"/>
        </w:rPr>
        <w:t>All staff members that share information are obliged to adhere to this policy and guidelines. Managers at all levels are responsible for ensuring that the staff member</w:t>
      </w:r>
      <w:r w:rsidR="008307AC">
        <w:rPr>
          <w:rFonts w:ascii="Open Sans" w:hAnsi="Open Sans"/>
          <w:color w:val="auto"/>
        </w:rPr>
        <w:t>s</w:t>
      </w:r>
      <w:r w:rsidRPr="00481470">
        <w:rPr>
          <w:rFonts w:ascii="Open Sans" w:hAnsi="Open Sans"/>
          <w:color w:val="auto"/>
        </w:rPr>
        <w:t xml:space="preserve"> for whom they are responsible are aware of, and adhere to, this policy. The service is also responsible for ensuring staff members are updated in regard to any changes in this policy.</w:t>
      </w:r>
    </w:p>
    <w:p w14:paraId="78F5F298" w14:textId="77777777" w:rsidR="00C90E70" w:rsidRPr="002B681F" w:rsidRDefault="00C90E70" w:rsidP="00C90E70">
      <w:pPr>
        <w:rPr>
          <w:rFonts w:ascii="Open Sans" w:hAnsi="Open Sans" w:cs="Open Sans"/>
          <w:color w:val="auto"/>
        </w:rPr>
      </w:pPr>
    </w:p>
    <w:p w14:paraId="0E68AFB3" w14:textId="77777777" w:rsidR="00127C42" w:rsidRPr="002B681F" w:rsidRDefault="00481470" w:rsidP="000269C5">
      <w:pPr>
        <w:pStyle w:val="Heading1"/>
      </w:pPr>
      <w:bookmarkStart w:id="3" w:name="_Toc147998786"/>
      <w:r>
        <w:lastRenderedPageBreak/>
        <w:t>Definitions</w:t>
      </w:r>
      <w:bookmarkEnd w:id="3"/>
    </w:p>
    <w:p w14:paraId="612930E1" w14:textId="0B33AE56" w:rsidR="008654E3" w:rsidRPr="008654E3" w:rsidRDefault="008654E3" w:rsidP="008654E3">
      <w:pPr>
        <w:jc w:val="both"/>
        <w:rPr>
          <w:rFonts w:ascii="Open Sans" w:hAnsi="Open Sans"/>
          <w:color w:val="auto"/>
        </w:rPr>
      </w:pPr>
      <w:r w:rsidRPr="008654E3">
        <w:rPr>
          <w:rFonts w:ascii="Open Sans" w:hAnsi="Open Sans"/>
          <w:b/>
          <w:bCs/>
          <w:color w:val="auto"/>
        </w:rPr>
        <w:t xml:space="preserve">Personal confidential data: </w:t>
      </w:r>
      <w:r w:rsidRPr="008654E3">
        <w:rPr>
          <w:rFonts w:ascii="Open Sans" w:hAnsi="Open Sans"/>
          <w:color w:val="auto"/>
        </w:rPr>
        <w:t xml:space="preserve">information that relates to an identified or identifiable individual. This data should not be processed without a clear legal basis. Personal confidential data should only be disclosed with consent or under statute, and any disclosure must always be limited and accompanied by a contractual agreement that mitigates the risk of misuse and inappropriate disclosure. The contractual agreement needs to set out, as a minimum, the legal basis for the data flow, the purposes to which the data </w:t>
      </w:r>
      <w:r w:rsidR="008307AC">
        <w:rPr>
          <w:rFonts w:ascii="Open Sans" w:hAnsi="Open Sans"/>
          <w:color w:val="auto"/>
        </w:rPr>
        <w:t xml:space="preserve">will </w:t>
      </w:r>
      <w:r w:rsidRPr="008654E3">
        <w:rPr>
          <w:rFonts w:ascii="Open Sans" w:hAnsi="Open Sans"/>
          <w:color w:val="auto"/>
        </w:rPr>
        <w:t>be put, the safeguards that should be in place to protect data and how the public are informed about these.</w:t>
      </w:r>
    </w:p>
    <w:p w14:paraId="04451330" w14:textId="77777777" w:rsidR="008654E3" w:rsidRPr="008654E3" w:rsidRDefault="008654E3" w:rsidP="008654E3">
      <w:pPr>
        <w:jc w:val="both"/>
        <w:rPr>
          <w:rFonts w:ascii="Open Sans" w:hAnsi="Open Sans"/>
          <w:color w:val="auto"/>
        </w:rPr>
      </w:pPr>
      <w:r w:rsidRPr="008654E3">
        <w:rPr>
          <w:rFonts w:ascii="Open Sans" w:hAnsi="Open Sans"/>
          <w:b/>
          <w:bCs/>
          <w:color w:val="auto"/>
        </w:rPr>
        <w:t xml:space="preserve">Client identifiable information: </w:t>
      </w:r>
      <w:r w:rsidRPr="008654E3">
        <w:rPr>
          <w:rFonts w:ascii="Open Sans" w:hAnsi="Open Sans"/>
          <w:color w:val="auto"/>
        </w:rPr>
        <w:t>all personal health information is held under strict legal and ethical obligations of confidentiality. Information given in confidence should not be used or disclosed in a form that might identify a client without his or her consent. Clients should be involved in decisions about the use of their personal health information in most circumstances. Clients’ identifiable information includes:</w:t>
      </w:r>
    </w:p>
    <w:p w14:paraId="68FDDE0B"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name</w:t>
      </w:r>
    </w:p>
    <w:p w14:paraId="6E3C4261"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address</w:t>
      </w:r>
    </w:p>
    <w:p w14:paraId="18CB8325"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full post code</w:t>
      </w:r>
    </w:p>
    <w:p w14:paraId="5272D850"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date of birth</w:t>
      </w:r>
    </w:p>
    <w:p w14:paraId="1AE165E8"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NHS number</w:t>
      </w:r>
    </w:p>
    <w:p w14:paraId="540F3DE3" w14:textId="77777777" w:rsidR="008654E3" w:rsidRPr="008654E3" w:rsidRDefault="008654E3" w:rsidP="008654E3">
      <w:pPr>
        <w:numPr>
          <w:ilvl w:val="0"/>
          <w:numId w:val="27"/>
        </w:numPr>
        <w:contextualSpacing/>
        <w:jc w:val="both"/>
        <w:rPr>
          <w:rFonts w:ascii="Open Sans" w:hAnsi="Open Sans"/>
          <w:color w:val="auto"/>
        </w:rPr>
      </w:pPr>
      <w:r w:rsidRPr="008654E3">
        <w:rPr>
          <w:rFonts w:ascii="Open Sans" w:hAnsi="Open Sans"/>
          <w:color w:val="auto"/>
        </w:rPr>
        <w:t>National Insurance Number</w:t>
      </w:r>
    </w:p>
    <w:p w14:paraId="67C607AD" w14:textId="77777777" w:rsidR="00E75041" w:rsidRDefault="008654E3" w:rsidP="00E75041">
      <w:pPr>
        <w:numPr>
          <w:ilvl w:val="0"/>
          <w:numId w:val="27"/>
        </w:numPr>
        <w:contextualSpacing/>
        <w:jc w:val="both"/>
        <w:rPr>
          <w:rFonts w:ascii="Open Sans" w:hAnsi="Open Sans"/>
          <w:b/>
          <w:bCs/>
          <w:color w:val="auto"/>
        </w:rPr>
      </w:pPr>
      <w:r w:rsidRPr="008654E3">
        <w:rPr>
          <w:rFonts w:ascii="Open Sans" w:hAnsi="Open Sans"/>
          <w:color w:val="auto"/>
        </w:rPr>
        <w:t>pictures, photographs, videos, audio­tapes or other images of the clients, as even a visual image (e.g., photograph) is sufficient to identify an individual. Any data or combination of data and other information, which can indirectly identify the person, will also fall into this definition.</w:t>
      </w:r>
    </w:p>
    <w:p w14:paraId="33216C5D" w14:textId="77777777" w:rsidR="00E75041" w:rsidRPr="008654E3" w:rsidRDefault="00E75041" w:rsidP="00E75041">
      <w:pPr>
        <w:contextualSpacing/>
        <w:jc w:val="both"/>
        <w:rPr>
          <w:rFonts w:ascii="Open Sans" w:hAnsi="Open Sans"/>
          <w:b/>
          <w:bCs/>
          <w:color w:val="auto"/>
        </w:rPr>
      </w:pPr>
    </w:p>
    <w:p w14:paraId="2446F092" w14:textId="77777777" w:rsidR="008654E3" w:rsidRPr="008654E3" w:rsidRDefault="008654E3" w:rsidP="008654E3">
      <w:pPr>
        <w:jc w:val="both"/>
        <w:rPr>
          <w:rFonts w:ascii="Open Sans" w:hAnsi="Open Sans"/>
          <w:color w:val="auto"/>
        </w:rPr>
      </w:pPr>
      <w:r w:rsidRPr="008654E3">
        <w:rPr>
          <w:rFonts w:ascii="Open Sans" w:hAnsi="Open Sans"/>
          <w:b/>
          <w:bCs/>
          <w:color w:val="auto"/>
        </w:rPr>
        <w:t xml:space="preserve">Non-person-identifiable information: </w:t>
      </w:r>
      <w:r w:rsidRPr="008654E3">
        <w:rPr>
          <w:rFonts w:ascii="Open Sans" w:hAnsi="Open Sans"/>
          <w:color w:val="auto"/>
        </w:rPr>
        <w:t>can be classed as confidential, such as confidential business information (e.g., financial reports and commercially sensitive information, e.g., contracts, trade secrets and procurement information) which should also be treated with the same degree of care.</w:t>
      </w:r>
    </w:p>
    <w:p w14:paraId="5087E123" w14:textId="77777777" w:rsidR="008654E3" w:rsidRPr="008654E3" w:rsidRDefault="008654E3" w:rsidP="008654E3">
      <w:pPr>
        <w:jc w:val="both"/>
        <w:rPr>
          <w:rFonts w:ascii="Open Sans" w:hAnsi="Open Sans"/>
          <w:color w:val="auto"/>
        </w:rPr>
      </w:pPr>
      <w:r w:rsidRPr="008654E3">
        <w:rPr>
          <w:rFonts w:ascii="Open Sans" w:hAnsi="Open Sans"/>
          <w:b/>
          <w:bCs/>
          <w:color w:val="auto"/>
        </w:rPr>
        <w:t xml:space="preserve">Special categories of personal information: </w:t>
      </w:r>
      <w:r w:rsidRPr="008654E3">
        <w:rPr>
          <w:rFonts w:ascii="Open Sans" w:hAnsi="Open Sans"/>
          <w:color w:val="auto"/>
        </w:rPr>
        <w:t xml:space="preserve">previously known as ‘sensitive’ personal data, defined by the Data Protection Act 2018 as refers to personal information about: </w:t>
      </w:r>
    </w:p>
    <w:p w14:paraId="07D4DC3A"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racial or ethnic origin</w:t>
      </w:r>
    </w:p>
    <w:p w14:paraId="0C114EC0"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political opinions</w:t>
      </w:r>
    </w:p>
    <w:p w14:paraId="0F06DFA3"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religious or philosophical beliefs</w:t>
      </w:r>
    </w:p>
    <w:p w14:paraId="15BE396C"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trade-union membership</w:t>
      </w:r>
    </w:p>
    <w:p w14:paraId="3DADA978"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processing of genetic data</w:t>
      </w:r>
    </w:p>
    <w:p w14:paraId="4A4B3423"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biometric data (for the purpose of uniquely identifying a natural person)</w:t>
      </w:r>
    </w:p>
    <w:p w14:paraId="421C10DC"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lastRenderedPageBreak/>
        <w:t>data concerning health</w:t>
      </w:r>
    </w:p>
    <w:p w14:paraId="49BFA236" w14:textId="77777777" w:rsidR="008654E3" w:rsidRPr="008654E3" w:rsidRDefault="008654E3" w:rsidP="008654E3">
      <w:pPr>
        <w:numPr>
          <w:ilvl w:val="0"/>
          <w:numId w:val="28"/>
        </w:numPr>
        <w:contextualSpacing/>
        <w:jc w:val="both"/>
        <w:rPr>
          <w:rFonts w:ascii="Open Sans" w:hAnsi="Open Sans"/>
          <w:color w:val="auto"/>
        </w:rPr>
      </w:pPr>
      <w:r w:rsidRPr="008654E3">
        <w:rPr>
          <w:rFonts w:ascii="Open Sans" w:hAnsi="Open Sans"/>
          <w:color w:val="auto"/>
        </w:rPr>
        <w:t>data concerning a natural person’s sex life or sexual orientation.</w:t>
      </w:r>
    </w:p>
    <w:p w14:paraId="57BEC6BC" w14:textId="77777777" w:rsidR="00EE2ED4" w:rsidRPr="002B681F" w:rsidRDefault="00EE2ED4" w:rsidP="00EE2ED4">
      <w:pPr>
        <w:rPr>
          <w:rFonts w:ascii="Open Sans" w:hAnsi="Open Sans" w:cs="Open Sans"/>
          <w:color w:val="auto"/>
        </w:rPr>
      </w:pPr>
    </w:p>
    <w:p w14:paraId="4CDB0153" w14:textId="77777777" w:rsidR="006D75C8" w:rsidRPr="002B681F" w:rsidRDefault="008654E3" w:rsidP="000269C5">
      <w:pPr>
        <w:pStyle w:val="Heading1"/>
      </w:pPr>
      <w:bookmarkStart w:id="4" w:name="_Toc147998787"/>
      <w:r>
        <w:t>Best Practi</w:t>
      </w:r>
      <w:r w:rsidR="00FA75BE">
        <w:t>c</w:t>
      </w:r>
      <w:r>
        <w:t xml:space="preserve">e </w:t>
      </w:r>
      <w:r w:rsidR="007E189F">
        <w:t>for Protecting Client Confidentiality</w:t>
      </w:r>
      <w:bookmarkEnd w:id="4"/>
    </w:p>
    <w:p w14:paraId="08CE9DA1" w14:textId="77777777" w:rsidR="00FA75BE" w:rsidRPr="00FA75BE" w:rsidRDefault="00FA75BE" w:rsidP="00FA75BE">
      <w:pPr>
        <w:jc w:val="both"/>
        <w:rPr>
          <w:rFonts w:ascii="Open Sans" w:hAnsi="Open Sans"/>
          <w:color w:val="auto"/>
        </w:rPr>
      </w:pPr>
      <w:r w:rsidRPr="00FA75BE">
        <w:rPr>
          <w:rFonts w:ascii="Open Sans" w:hAnsi="Open Sans"/>
          <w:color w:val="auto"/>
        </w:rPr>
        <w:t>It is your responsibility to make sure that you follow the measures set out below to protect the confidential information you have gained privileged access to because of your role. Your responsibility starts when you receive the information, it then continues when you use it, store it, share it with others and destroy it. This applies to both spoken and written information:</w:t>
      </w:r>
    </w:p>
    <w:p w14:paraId="7981E01C"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keep accurate, relevant records</w:t>
      </w:r>
    </w:p>
    <w:p w14:paraId="067F7BF9"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record and use only the information necessary</w:t>
      </w:r>
    </w:p>
    <w:p w14:paraId="63C3C537"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access only the information you need</w:t>
      </w:r>
    </w:p>
    <w:p w14:paraId="6871ACF0" w14:textId="2B0880A1" w:rsidR="00FA75BE" w:rsidRPr="0019796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 xml:space="preserve">keep information and records physically and electronically secure and confidential (e.g., leave your desk tidy, </w:t>
      </w:r>
      <w:r w:rsidR="00212D5F">
        <w:rPr>
          <w:rFonts w:ascii="Open Sans" w:hAnsi="Open Sans"/>
          <w:color w:val="auto"/>
        </w:rPr>
        <w:t>lock your computer screen when away from your desk,</w:t>
      </w:r>
      <w:r w:rsidR="00212D5F" w:rsidRPr="00FA75BE">
        <w:rPr>
          <w:rFonts w:ascii="Open Sans" w:hAnsi="Open Sans"/>
          <w:color w:val="auto"/>
        </w:rPr>
        <w:t xml:space="preserve"> </w:t>
      </w:r>
      <w:r w:rsidRPr="00FA75BE">
        <w:rPr>
          <w:rFonts w:ascii="Open Sans" w:hAnsi="Open Sans"/>
          <w:color w:val="auto"/>
        </w:rPr>
        <w:t xml:space="preserve">take care not to be overheard when discussing cases and </w:t>
      </w:r>
      <w:r w:rsidRPr="0019796E">
        <w:rPr>
          <w:rFonts w:ascii="Open Sans" w:hAnsi="Open Sans"/>
          <w:color w:val="auto"/>
        </w:rPr>
        <w:t>never discuss cases in public places)</w:t>
      </w:r>
    </w:p>
    <w:p w14:paraId="6C046AD8" w14:textId="63AAFD0D" w:rsidR="00FA75BE" w:rsidRPr="0019796E" w:rsidRDefault="00FA75BE" w:rsidP="00FA75BE">
      <w:pPr>
        <w:pStyle w:val="ListParagraph"/>
        <w:numPr>
          <w:ilvl w:val="0"/>
          <w:numId w:val="29"/>
        </w:numPr>
        <w:jc w:val="both"/>
        <w:rPr>
          <w:rFonts w:ascii="Open Sans" w:hAnsi="Open Sans"/>
          <w:color w:val="auto"/>
        </w:rPr>
      </w:pPr>
      <w:r w:rsidRPr="0019796E">
        <w:rPr>
          <w:rFonts w:ascii="Open Sans" w:hAnsi="Open Sans"/>
          <w:color w:val="auto"/>
        </w:rPr>
        <w:t xml:space="preserve">follow </w:t>
      </w:r>
      <w:sdt>
        <w:sdtPr>
          <w:rPr>
            <w:rFonts w:ascii="Open Sans" w:hAnsi="Open Sans"/>
            <w:color w:val="auto"/>
          </w:rPr>
          <w:tag w:val="HD:1.187.0.0:68c21318-64bb-4733-8d55-d1f2c91a521b"/>
          <w:id w:val="1960440453"/>
          <w:placeholder>
            <w:docPart w:val="C99B041C80F94000BDA941749623C39D"/>
          </w:placeholder>
        </w:sdtPr>
        <w:sdtContent>
          <w:r w:rsidR="00AA04EC">
            <w:rPr>
              <w:rFonts w:ascii="Open Sans" w:hAnsi="Open Sans"/>
              <w:noProof/>
              <w:color w:val="auto"/>
            </w:rPr>
            <w:t>[</w:t>
          </w:r>
          <w:r w:rsidR="00AA04EC" w:rsidRPr="00AA04EC">
            <w:rPr>
              <w:rFonts w:ascii="Open Sans" w:hAnsi="Open Sans"/>
              <w:noProof/>
              <w:color w:val="0000FF"/>
            </w:rPr>
            <w:t>Company Name</w:t>
          </w:r>
          <w:r w:rsidR="00AA04EC">
            <w:rPr>
              <w:rFonts w:ascii="Open Sans" w:hAnsi="Open Sans"/>
              <w:noProof/>
              <w:color w:val="auto"/>
            </w:rPr>
            <w:t>]</w:t>
          </w:r>
        </w:sdtContent>
      </w:sdt>
      <w:r w:rsidRPr="0019796E">
        <w:rPr>
          <w:rFonts w:ascii="Open Sans" w:hAnsi="Open Sans"/>
          <w:color w:val="auto"/>
        </w:rPr>
        <w:t>’s guidance when using removable devices, such as laptops, smart phones and memory sticks</w:t>
      </w:r>
    </w:p>
    <w:p w14:paraId="0083E3BF" w14:textId="77777777" w:rsidR="00FA75BE" w:rsidRPr="0019796E" w:rsidRDefault="00FA75BE" w:rsidP="00FA75BE">
      <w:pPr>
        <w:pStyle w:val="ListParagraph"/>
        <w:numPr>
          <w:ilvl w:val="0"/>
          <w:numId w:val="29"/>
        </w:numPr>
        <w:jc w:val="both"/>
        <w:rPr>
          <w:rFonts w:ascii="Open Sans" w:hAnsi="Open Sans"/>
          <w:color w:val="auto"/>
        </w:rPr>
      </w:pPr>
      <w:r w:rsidRPr="0019796E">
        <w:rPr>
          <w:rFonts w:ascii="Open Sans" w:hAnsi="Open Sans"/>
          <w:color w:val="auto"/>
        </w:rPr>
        <w:t>keep your usernames and passwords secret and change your passwords regularly</w:t>
      </w:r>
    </w:p>
    <w:p w14:paraId="5EC4D2DA" w14:textId="409DE016" w:rsidR="00FA75BE" w:rsidRPr="00FA75BE" w:rsidRDefault="00FA75BE" w:rsidP="00FA75BE">
      <w:pPr>
        <w:pStyle w:val="ListParagraph"/>
        <w:numPr>
          <w:ilvl w:val="0"/>
          <w:numId w:val="29"/>
        </w:numPr>
        <w:jc w:val="both"/>
        <w:rPr>
          <w:rFonts w:ascii="Open Sans" w:hAnsi="Open Sans"/>
          <w:color w:val="auto"/>
        </w:rPr>
      </w:pPr>
      <w:r w:rsidRPr="0019796E">
        <w:rPr>
          <w:rFonts w:ascii="Open Sans" w:hAnsi="Open Sans"/>
          <w:color w:val="auto"/>
        </w:rPr>
        <w:t xml:space="preserve">follow </w:t>
      </w:r>
      <w:sdt>
        <w:sdtPr>
          <w:rPr>
            <w:rFonts w:ascii="Open Sans" w:hAnsi="Open Sans"/>
            <w:color w:val="auto"/>
          </w:rPr>
          <w:tag w:val="HD:1.187.0.0:d21cc1c3-0492-448a-bfd9-395fe6d4794a"/>
          <w:id w:val="799960817"/>
          <w:placeholder>
            <w:docPart w:val="C9E4DAD5F0FB4FC98722F821DC032675"/>
          </w:placeholder>
        </w:sdtPr>
        <w:sdtContent>
          <w:r w:rsidR="00AA04EC">
            <w:rPr>
              <w:rFonts w:ascii="Open Sans" w:hAnsi="Open Sans"/>
              <w:noProof/>
              <w:color w:val="auto"/>
            </w:rPr>
            <w:t>[</w:t>
          </w:r>
          <w:r w:rsidR="00AA04EC" w:rsidRPr="00AA04EC">
            <w:rPr>
              <w:rFonts w:ascii="Open Sans" w:hAnsi="Open Sans"/>
              <w:noProof/>
              <w:color w:val="0000FF"/>
            </w:rPr>
            <w:t>Company Name</w:t>
          </w:r>
          <w:r w:rsidR="00AA04EC">
            <w:rPr>
              <w:rFonts w:ascii="Open Sans" w:hAnsi="Open Sans"/>
              <w:noProof/>
              <w:color w:val="auto"/>
            </w:rPr>
            <w:t>]</w:t>
          </w:r>
        </w:sdtContent>
      </w:sdt>
      <w:r w:rsidRPr="0019796E">
        <w:rPr>
          <w:rFonts w:ascii="Open Sans" w:hAnsi="Open Sans"/>
          <w:color w:val="auto"/>
        </w:rPr>
        <w:t>’s guidance before sharing or releasing information (including checking who a person is and that they are allowed access to the information), and when sending</w:t>
      </w:r>
      <w:r w:rsidRPr="00FA75BE">
        <w:rPr>
          <w:rFonts w:ascii="Open Sans" w:hAnsi="Open Sans"/>
          <w:color w:val="auto"/>
        </w:rPr>
        <w:t>, transporting or transferring confidential information</w:t>
      </w:r>
    </w:p>
    <w:p w14:paraId="3FD9E570"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 xml:space="preserve">make information anonymous where possible </w:t>
      </w:r>
    </w:p>
    <w:p w14:paraId="2543E2BD"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keep and destroy information in line with local policy and national guidelines</w:t>
      </w:r>
    </w:p>
    <w:p w14:paraId="385E3976" w14:textId="77777777" w:rsidR="00FA75BE" w:rsidRPr="00FA75BE" w:rsidRDefault="00FA75BE" w:rsidP="00FA75BE">
      <w:pPr>
        <w:pStyle w:val="ListParagraph"/>
        <w:numPr>
          <w:ilvl w:val="0"/>
          <w:numId w:val="29"/>
        </w:numPr>
        <w:jc w:val="both"/>
        <w:rPr>
          <w:rFonts w:ascii="Open Sans" w:hAnsi="Open Sans"/>
          <w:color w:val="auto"/>
        </w:rPr>
      </w:pPr>
      <w:r w:rsidRPr="00FA75BE">
        <w:rPr>
          <w:rFonts w:ascii="Open Sans" w:hAnsi="Open Sans"/>
          <w:color w:val="auto"/>
        </w:rPr>
        <w:t>always report actual and possible breaches of security or confidentiality as a matter of priority.</w:t>
      </w:r>
    </w:p>
    <w:p w14:paraId="11CF44AD" w14:textId="77777777" w:rsidR="002D2A3B" w:rsidRPr="002B681F" w:rsidRDefault="002D2A3B" w:rsidP="002D2A3B">
      <w:pPr>
        <w:rPr>
          <w:rFonts w:ascii="Open Sans" w:hAnsi="Open Sans" w:cs="Open Sans"/>
          <w:color w:val="auto"/>
        </w:rPr>
      </w:pPr>
    </w:p>
    <w:p w14:paraId="578A6E66" w14:textId="2D01E3D0" w:rsidR="00127C42" w:rsidRPr="002B681F" w:rsidRDefault="00FA75BE" w:rsidP="000269C5">
      <w:pPr>
        <w:pStyle w:val="Heading1"/>
      </w:pPr>
      <w:bookmarkStart w:id="5" w:name="_Toc147998788"/>
      <w:r>
        <w:t>Best Practice for Keeping Clients</w:t>
      </w:r>
      <w:r w:rsidR="00941A4D">
        <w:t>’</w:t>
      </w:r>
      <w:r>
        <w:t xml:space="preserve"> Records Secure</w:t>
      </w:r>
      <w:bookmarkEnd w:id="5"/>
    </w:p>
    <w:p w14:paraId="74BA18D1" w14:textId="77777777" w:rsidR="00BF5B9E" w:rsidRPr="00841EB5" w:rsidRDefault="00BF5B9E" w:rsidP="00BF5B9E">
      <w:pPr>
        <w:jc w:val="both"/>
        <w:rPr>
          <w:rFonts w:ascii="Open Sans" w:hAnsi="Open Sans"/>
          <w:color w:val="auto"/>
        </w:rPr>
      </w:pPr>
      <w:r w:rsidRPr="00841EB5">
        <w:rPr>
          <w:rFonts w:ascii="Open Sans" w:hAnsi="Open Sans"/>
          <w:color w:val="auto"/>
        </w:rPr>
        <w:t>For all types of records, staff members working in offices where records may be seen must:</w:t>
      </w:r>
      <w:r w:rsidRPr="00841EB5">
        <w:rPr>
          <w:color w:val="auto"/>
        </w:rPr>
        <w:t xml:space="preserve"> </w:t>
      </w:r>
    </w:p>
    <w:p w14:paraId="2256FAFF" w14:textId="77777777" w:rsidR="00BF5B9E" w:rsidRPr="00841EB5" w:rsidRDefault="00BF5B9E" w:rsidP="00BF5B9E">
      <w:pPr>
        <w:numPr>
          <w:ilvl w:val="0"/>
          <w:numId w:val="30"/>
        </w:numPr>
        <w:contextualSpacing/>
        <w:jc w:val="both"/>
        <w:rPr>
          <w:rFonts w:ascii="Open Sans" w:hAnsi="Open Sans"/>
          <w:color w:val="auto"/>
        </w:rPr>
      </w:pPr>
      <w:r w:rsidRPr="00841EB5">
        <w:rPr>
          <w:rFonts w:ascii="Open Sans" w:hAnsi="Open Sans"/>
          <w:color w:val="auto"/>
        </w:rPr>
        <w:t>shut/lock doors and cabinets as required</w:t>
      </w:r>
    </w:p>
    <w:p w14:paraId="7DE7BFDB" w14:textId="77777777" w:rsidR="00BF5B9E" w:rsidRPr="00841EB5" w:rsidRDefault="00BF5B9E" w:rsidP="00BF5B9E">
      <w:pPr>
        <w:numPr>
          <w:ilvl w:val="0"/>
          <w:numId w:val="30"/>
        </w:numPr>
        <w:contextualSpacing/>
        <w:jc w:val="both"/>
        <w:rPr>
          <w:rFonts w:ascii="Open Sans" w:hAnsi="Open Sans"/>
          <w:color w:val="auto"/>
        </w:rPr>
      </w:pPr>
      <w:r w:rsidRPr="00841EB5">
        <w:rPr>
          <w:rFonts w:ascii="Open Sans" w:hAnsi="Open Sans"/>
          <w:color w:val="auto"/>
        </w:rPr>
        <w:lastRenderedPageBreak/>
        <w:t>wear building passes/ID if issued</w:t>
      </w:r>
    </w:p>
    <w:p w14:paraId="3EB82FBE" w14:textId="77777777" w:rsidR="00BF5B9E" w:rsidRPr="00841EB5" w:rsidRDefault="00BF5B9E" w:rsidP="00BF5B9E">
      <w:pPr>
        <w:numPr>
          <w:ilvl w:val="0"/>
          <w:numId w:val="30"/>
        </w:numPr>
        <w:contextualSpacing/>
        <w:jc w:val="both"/>
        <w:rPr>
          <w:rFonts w:ascii="Open Sans" w:hAnsi="Open Sans"/>
          <w:color w:val="auto"/>
        </w:rPr>
      </w:pPr>
      <w:r w:rsidRPr="00841EB5">
        <w:rPr>
          <w:rFonts w:ascii="Open Sans" w:hAnsi="Open Sans"/>
          <w:color w:val="auto"/>
        </w:rPr>
        <w:t>query the status of strangers</w:t>
      </w:r>
    </w:p>
    <w:p w14:paraId="3B0C572D" w14:textId="77777777" w:rsidR="00BF5B9E" w:rsidRPr="00841EB5" w:rsidRDefault="00BF5B9E" w:rsidP="00BF5B9E">
      <w:pPr>
        <w:numPr>
          <w:ilvl w:val="0"/>
          <w:numId w:val="30"/>
        </w:numPr>
        <w:contextualSpacing/>
        <w:jc w:val="both"/>
        <w:rPr>
          <w:rFonts w:ascii="Open Sans" w:hAnsi="Open Sans"/>
          <w:color w:val="auto"/>
        </w:rPr>
      </w:pPr>
      <w:r w:rsidRPr="00841EB5">
        <w:rPr>
          <w:rFonts w:ascii="Open Sans" w:hAnsi="Open Sans"/>
          <w:color w:val="auto"/>
        </w:rPr>
        <w:t>know who to tell if anything suspicious or worrying is noted</w:t>
      </w:r>
    </w:p>
    <w:p w14:paraId="63793A4E" w14:textId="77777777" w:rsidR="00BF5B9E" w:rsidRPr="00841EB5" w:rsidRDefault="00BF5B9E" w:rsidP="00BF5B9E">
      <w:pPr>
        <w:numPr>
          <w:ilvl w:val="0"/>
          <w:numId w:val="30"/>
        </w:numPr>
        <w:contextualSpacing/>
        <w:jc w:val="both"/>
        <w:rPr>
          <w:rFonts w:ascii="Open Sans" w:hAnsi="Open Sans"/>
          <w:color w:val="auto"/>
        </w:rPr>
      </w:pPr>
      <w:r w:rsidRPr="00841EB5">
        <w:rPr>
          <w:rFonts w:ascii="Open Sans" w:hAnsi="Open Sans"/>
          <w:color w:val="auto"/>
        </w:rPr>
        <w:t>not tell unauthorised personnel how the security systems operate</w:t>
      </w:r>
    </w:p>
    <w:p w14:paraId="3CBE9DD3" w14:textId="77777777" w:rsidR="00BF5B9E" w:rsidRDefault="00BF5B9E" w:rsidP="00BF5B9E">
      <w:pPr>
        <w:numPr>
          <w:ilvl w:val="0"/>
          <w:numId w:val="30"/>
        </w:numPr>
        <w:contextualSpacing/>
        <w:jc w:val="both"/>
        <w:rPr>
          <w:rFonts w:ascii="Open Sans" w:hAnsi="Open Sans"/>
          <w:color w:val="auto"/>
        </w:rPr>
      </w:pPr>
      <w:r w:rsidRPr="00841EB5">
        <w:rPr>
          <w:rFonts w:ascii="Open Sans" w:hAnsi="Open Sans"/>
          <w:color w:val="auto"/>
        </w:rPr>
        <w:t>not breach security yourselves.</w:t>
      </w:r>
    </w:p>
    <w:p w14:paraId="293E93D5" w14:textId="77777777" w:rsidR="00AA04EC" w:rsidRPr="00841EB5" w:rsidRDefault="00AA04EC" w:rsidP="00AA04EC">
      <w:pPr>
        <w:ind w:left="720"/>
        <w:contextualSpacing/>
        <w:jc w:val="both"/>
        <w:rPr>
          <w:rFonts w:ascii="Open Sans" w:hAnsi="Open Sans"/>
          <w:color w:val="auto"/>
        </w:rPr>
      </w:pPr>
    </w:p>
    <w:p w14:paraId="77B9792C" w14:textId="0C91D5B4" w:rsidR="00BF5B9E" w:rsidRPr="00BF5B9E" w:rsidRDefault="00D24349" w:rsidP="00BF5B9E">
      <w:pPr>
        <w:jc w:val="both"/>
        <w:rPr>
          <w:rFonts w:ascii="Open Sans" w:hAnsi="Open Sans"/>
          <w:color w:val="auto"/>
        </w:rPr>
      </w:pPr>
      <w:r w:rsidRPr="00D24349">
        <w:rPr>
          <w:rFonts w:ascii="Open Sans" w:hAnsi="Open Sans"/>
          <w:b/>
          <w:bCs/>
          <w:color w:val="auto"/>
          <w:highlight w:val="yellow"/>
        </w:rPr>
        <w:t>[Remove for purely electronic patient records]</w:t>
      </w:r>
      <w:r w:rsidRPr="009C177E">
        <w:rPr>
          <w:rFonts w:ascii="Open Sans" w:hAnsi="Open Sans"/>
          <w:color w:val="auto"/>
        </w:rPr>
        <w:t xml:space="preserve"> </w:t>
      </w:r>
      <w:r w:rsidR="00BF5B9E" w:rsidRPr="00BF5B9E">
        <w:rPr>
          <w:rFonts w:ascii="Open Sans" w:hAnsi="Open Sans"/>
          <w:color w:val="auto"/>
        </w:rPr>
        <w:t>Manual records must be:</w:t>
      </w:r>
    </w:p>
    <w:p w14:paraId="216A7ECD" w14:textId="77777777" w:rsidR="00BF5B9E" w:rsidRP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formally booked out from the normal filing system</w:t>
      </w:r>
    </w:p>
    <w:p w14:paraId="0D8F5505" w14:textId="77777777" w:rsidR="00BF5B9E" w:rsidRP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tracked if transferred, with a note made or sent to the filing location of the transfer</w:t>
      </w:r>
    </w:p>
    <w:p w14:paraId="4EBD4C6D" w14:textId="77777777" w:rsidR="00BF5B9E" w:rsidRP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returned to the filing location as soon as possible after use</w:t>
      </w:r>
    </w:p>
    <w:p w14:paraId="4F29C07F" w14:textId="77777777" w:rsidR="00BF5B9E" w:rsidRP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stored securely within the clinic or office, arranged so that the record can be found easily if needed urgently</w:t>
      </w:r>
    </w:p>
    <w:p w14:paraId="0FCAAC3F" w14:textId="77777777" w:rsidR="00BF5B9E" w:rsidRP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stored closed when not in use so that contents are not seen accidentally</w:t>
      </w:r>
    </w:p>
    <w:p w14:paraId="6D3E93C6" w14:textId="4D6174C4" w:rsidR="00BF5B9E" w:rsidRPr="00586557" w:rsidRDefault="00BF5B9E" w:rsidP="00586557">
      <w:pPr>
        <w:numPr>
          <w:ilvl w:val="0"/>
          <w:numId w:val="31"/>
        </w:numPr>
        <w:contextualSpacing/>
        <w:jc w:val="both"/>
        <w:rPr>
          <w:rFonts w:ascii="Open Sans" w:hAnsi="Open Sans"/>
          <w:color w:val="auto"/>
        </w:rPr>
      </w:pPr>
      <w:r w:rsidRPr="00BF5B9E">
        <w:rPr>
          <w:rFonts w:ascii="Open Sans" w:hAnsi="Open Sans"/>
          <w:color w:val="auto"/>
        </w:rPr>
        <w:t>inaccessible to members of the public and not left even for short periods where they might be looked at by unauthorised persons</w:t>
      </w:r>
      <w:r w:rsidR="00586557">
        <w:rPr>
          <w:rFonts w:ascii="Open Sans" w:hAnsi="Open Sans"/>
          <w:color w:val="auto"/>
        </w:rPr>
        <w:t>, this includes ensuring that they are not left out on view in a client’s home</w:t>
      </w:r>
    </w:p>
    <w:p w14:paraId="14B7F730" w14:textId="77777777" w:rsidR="00BF5B9E" w:rsidRDefault="00BF5B9E" w:rsidP="00BF5B9E">
      <w:pPr>
        <w:numPr>
          <w:ilvl w:val="0"/>
          <w:numId w:val="31"/>
        </w:numPr>
        <w:contextualSpacing/>
        <w:jc w:val="both"/>
        <w:rPr>
          <w:rFonts w:ascii="Open Sans" w:hAnsi="Open Sans"/>
          <w:color w:val="auto"/>
        </w:rPr>
      </w:pPr>
      <w:r w:rsidRPr="00BF5B9E">
        <w:rPr>
          <w:rFonts w:ascii="Open Sans" w:hAnsi="Open Sans"/>
          <w:color w:val="auto"/>
        </w:rPr>
        <w:t>held in secure storage with clear labelling. Protective ‘wrappers’ indicating sensitivity, though not indicating the reason for sensitivity, and permitted access, and the availability of secure means of destruction (e.g., shredding) are essential.</w:t>
      </w:r>
    </w:p>
    <w:p w14:paraId="59B1CAE3" w14:textId="77777777" w:rsidR="00AA04EC" w:rsidRPr="00BF5B9E" w:rsidRDefault="00AA04EC" w:rsidP="00AA04EC">
      <w:pPr>
        <w:ind w:left="720"/>
        <w:contextualSpacing/>
        <w:jc w:val="both"/>
        <w:rPr>
          <w:rFonts w:ascii="Open Sans" w:hAnsi="Open Sans"/>
          <w:color w:val="auto"/>
        </w:rPr>
      </w:pPr>
    </w:p>
    <w:p w14:paraId="7092A169" w14:textId="79CDD2A3" w:rsidR="00BF5B9E" w:rsidRPr="00BF5B9E" w:rsidRDefault="009D2397" w:rsidP="00BF5B9E">
      <w:pPr>
        <w:jc w:val="both"/>
        <w:rPr>
          <w:rFonts w:ascii="Open Sans" w:hAnsi="Open Sans"/>
          <w:color w:val="auto"/>
        </w:rPr>
      </w:pPr>
      <w:r w:rsidRPr="00D24349">
        <w:rPr>
          <w:rFonts w:ascii="Open Sans" w:hAnsi="Open Sans"/>
          <w:b/>
          <w:bCs/>
          <w:color w:val="auto"/>
          <w:highlight w:val="yellow"/>
        </w:rPr>
        <w:t xml:space="preserve">[Remove for purely </w:t>
      </w:r>
      <w:r>
        <w:rPr>
          <w:rFonts w:ascii="Open Sans" w:hAnsi="Open Sans"/>
          <w:b/>
          <w:bCs/>
          <w:color w:val="auto"/>
          <w:highlight w:val="yellow"/>
        </w:rPr>
        <w:t xml:space="preserve">manual </w:t>
      </w:r>
      <w:r w:rsidRPr="00D24349">
        <w:rPr>
          <w:rFonts w:ascii="Open Sans" w:hAnsi="Open Sans"/>
          <w:b/>
          <w:bCs/>
          <w:color w:val="auto"/>
          <w:highlight w:val="yellow"/>
        </w:rPr>
        <w:t>patient records]</w:t>
      </w:r>
      <w:r w:rsidRPr="009C177E">
        <w:rPr>
          <w:rFonts w:ascii="Open Sans" w:hAnsi="Open Sans"/>
          <w:color w:val="auto"/>
        </w:rPr>
        <w:t xml:space="preserve"> </w:t>
      </w:r>
      <w:r w:rsidR="00BF5B9E" w:rsidRPr="00BF5B9E">
        <w:rPr>
          <w:rFonts w:ascii="Open Sans" w:hAnsi="Open Sans"/>
          <w:color w:val="auto"/>
        </w:rPr>
        <w:t>With electronic records, staff members must:</w:t>
      </w:r>
    </w:p>
    <w:p w14:paraId="44472318"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always log-out of any computer system or application when work on it is finished</w:t>
      </w:r>
    </w:p>
    <w:p w14:paraId="781A238F"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not leave a terminal unattended and logged-in</w:t>
      </w:r>
    </w:p>
    <w:p w14:paraId="1DD32EF8"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not share logins with other people. If other staff members have a need to access records, then appropriate access should be organised for them</w:t>
      </w:r>
    </w:p>
    <w:p w14:paraId="49BDAA0C"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not reveal passwords to others</w:t>
      </w:r>
    </w:p>
    <w:p w14:paraId="0C3172EB"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change passwords at regular intervals to prevent anyone else using them</w:t>
      </w:r>
    </w:p>
    <w:p w14:paraId="60124BB4"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avoid using short passwords or using names or words that are known to be associated with you (e.g., children’s or pet’s names or birthdays)</w:t>
      </w:r>
    </w:p>
    <w:p w14:paraId="38EF2A48"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always clear the screen of a previous client’s information before seeing another</w:t>
      </w:r>
    </w:p>
    <w:p w14:paraId="4A35E997" w14:textId="77777777" w:rsidR="00BF5B9E" w:rsidRPr="00BF5B9E" w:rsidRDefault="00BF5B9E" w:rsidP="00BF5B9E">
      <w:pPr>
        <w:numPr>
          <w:ilvl w:val="0"/>
          <w:numId w:val="32"/>
        </w:numPr>
        <w:contextualSpacing/>
        <w:jc w:val="both"/>
        <w:rPr>
          <w:rFonts w:ascii="Open Sans" w:hAnsi="Open Sans"/>
          <w:color w:val="auto"/>
        </w:rPr>
      </w:pPr>
      <w:r w:rsidRPr="00BF5B9E">
        <w:rPr>
          <w:rFonts w:ascii="Open Sans" w:hAnsi="Open Sans"/>
          <w:color w:val="auto"/>
        </w:rPr>
        <w:t>use a password-protected screensaver to prevent casual viewing of client information by others.</w:t>
      </w:r>
    </w:p>
    <w:p w14:paraId="114F331B" w14:textId="77777777" w:rsidR="003407E1" w:rsidRPr="002B681F" w:rsidRDefault="003407E1" w:rsidP="003407E1">
      <w:pPr>
        <w:rPr>
          <w:rFonts w:ascii="Open Sans" w:hAnsi="Open Sans" w:cs="Open Sans"/>
          <w:color w:val="auto"/>
        </w:rPr>
      </w:pPr>
    </w:p>
    <w:p w14:paraId="26683FD8" w14:textId="77777777" w:rsidR="00127C42" w:rsidRPr="002B681F" w:rsidRDefault="00BF5B9E" w:rsidP="000269C5">
      <w:pPr>
        <w:pStyle w:val="Heading1"/>
      </w:pPr>
      <w:bookmarkStart w:id="6" w:name="_Toc147998789"/>
      <w:r>
        <w:t>Best Practice when Sharing Client Information</w:t>
      </w:r>
      <w:bookmarkEnd w:id="6"/>
    </w:p>
    <w:p w14:paraId="0865FB51" w14:textId="77777777" w:rsidR="0051704D" w:rsidRPr="0051704D" w:rsidRDefault="0051704D" w:rsidP="0051704D">
      <w:pPr>
        <w:jc w:val="both"/>
        <w:rPr>
          <w:rFonts w:ascii="Open Sans" w:hAnsi="Open Sans"/>
          <w:color w:val="auto"/>
        </w:rPr>
      </w:pPr>
      <w:r w:rsidRPr="0051704D">
        <w:rPr>
          <w:rFonts w:ascii="Open Sans" w:hAnsi="Open Sans"/>
          <w:color w:val="auto"/>
        </w:rPr>
        <w:t xml:space="preserve">Consent to share information must be sought from clients in a sensitive manner. At all times the rights, interests and dignity of the client must be respected. Clients must have </w:t>
      </w:r>
      <w:r w:rsidRPr="0051704D">
        <w:rPr>
          <w:rFonts w:ascii="Open Sans" w:hAnsi="Open Sans"/>
          <w:color w:val="auto"/>
        </w:rPr>
        <w:lastRenderedPageBreak/>
        <w:t>the opportunity to discuss any aspects of information sharing that are specific to their treatment and personal circumstances, for example:</w:t>
      </w:r>
    </w:p>
    <w:p w14:paraId="4B670E98"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inform clients of how information will be used before they are asked to provide it. This includes informing clients of the purposes for which information about them is collected, and the types of people and agencies to which information may need to be passed, such as clinicians</w:t>
      </w:r>
    </w:p>
    <w:p w14:paraId="4BA7B196"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 xml:space="preserve">consent to share information must be recorded in the client’s clinical record and should be sought at the earliest opportunity </w:t>
      </w:r>
    </w:p>
    <w:p w14:paraId="7B54B58F"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once consent to share personal information has been obtained, it will be assumed to continue unless the client withdraws consent but will be limited to the purposes for which consent was given</w:t>
      </w:r>
    </w:p>
    <w:p w14:paraId="7BC628A1"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a client’s case file or other personal record should always be checked for evidence of consent before personal information is shared with another agency</w:t>
      </w:r>
    </w:p>
    <w:p w14:paraId="7C11A816"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consent may be verbal or written. Clients can change their choice about their consent at any time</w:t>
      </w:r>
    </w:p>
    <w:p w14:paraId="4C6A6115"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consent, whether implied (when a client accepts a service) or explicit (when a client indicates consent), must always follow the effective involvement of clients</w:t>
      </w:r>
    </w:p>
    <w:p w14:paraId="281B3DAB" w14:textId="77777777" w:rsidR="0051704D" w:rsidRPr="0051704D" w:rsidRDefault="0051704D" w:rsidP="0051704D">
      <w:pPr>
        <w:pStyle w:val="ListParagraph"/>
        <w:numPr>
          <w:ilvl w:val="0"/>
          <w:numId w:val="33"/>
        </w:numPr>
        <w:jc w:val="both"/>
        <w:rPr>
          <w:rFonts w:ascii="Open Sans" w:hAnsi="Open Sans"/>
          <w:color w:val="auto"/>
        </w:rPr>
      </w:pPr>
      <w:r w:rsidRPr="0051704D">
        <w:rPr>
          <w:rFonts w:ascii="Open Sans" w:hAnsi="Open Sans"/>
          <w:color w:val="auto"/>
        </w:rPr>
        <w:t>explicit consent is best practice and should become the norm as better-informed clients share in decisions about the uses of their information.</w:t>
      </w:r>
    </w:p>
    <w:p w14:paraId="38199732" w14:textId="77777777" w:rsidR="005B5304" w:rsidRPr="002B681F" w:rsidRDefault="005B5304" w:rsidP="005B5304">
      <w:pPr>
        <w:rPr>
          <w:rFonts w:ascii="Open Sans" w:hAnsi="Open Sans" w:cs="Open Sans"/>
          <w:color w:val="auto"/>
        </w:rPr>
      </w:pPr>
    </w:p>
    <w:p w14:paraId="48CA3D58" w14:textId="77777777" w:rsidR="00127C42" w:rsidRPr="002B681F" w:rsidRDefault="001C5309" w:rsidP="000269C5">
      <w:pPr>
        <w:pStyle w:val="Heading1"/>
      </w:pPr>
      <w:bookmarkStart w:id="7" w:name="_Toc147998790"/>
      <w:r>
        <w:t>Caldicott Guardian</w:t>
      </w:r>
      <w:bookmarkEnd w:id="7"/>
    </w:p>
    <w:p w14:paraId="300F89BE" w14:textId="349FF91E" w:rsidR="003F156A" w:rsidRPr="009C177E" w:rsidRDefault="003F156A" w:rsidP="003F156A">
      <w:pPr>
        <w:jc w:val="both"/>
        <w:rPr>
          <w:rFonts w:ascii="Open Sans" w:hAnsi="Open Sans"/>
          <w:b/>
          <w:bCs/>
          <w:color w:val="auto"/>
        </w:rPr>
      </w:pPr>
      <w:r w:rsidRPr="009C177E">
        <w:rPr>
          <w:rFonts w:ascii="Open Sans" w:hAnsi="Open Sans"/>
          <w:b/>
          <w:bCs/>
          <w:color w:val="auto"/>
          <w:highlight w:val="yellow"/>
        </w:rPr>
        <w:t>[</w:t>
      </w:r>
      <w:r>
        <w:rPr>
          <w:rFonts w:ascii="Open Sans" w:hAnsi="Open Sans"/>
          <w:b/>
          <w:bCs/>
          <w:color w:val="auto"/>
          <w:highlight w:val="yellow"/>
        </w:rPr>
        <w:t>D</w:t>
      </w:r>
      <w:r w:rsidRPr="009C177E">
        <w:rPr>
          <w:rFonts w:ascii="Open Sans" w:hAnsi="Open Sans"/>
          <w:b/>
          <w:bCs/>
          <w:color w:val="auto"/>
          <w:highlight w:val="yellow"/>
        </w:rPr>
        <w:t xml:space="preserve">elete where the </w:t>
      </w:r>
      <w:r>
        <w:rPr>
          <w:rFonts w:ascii="Open Sans" w:hAnsi="Open Sans"/>
          <w:b/>
          <w:bCs/>
          <w:color w:val="auto"/>
          <w:highlight w:val="yellow"/>
        </w:rPr>
        <w:t>Company</w:t>
      </w:r>
      <w:r w:rsidRPr="009C177E">
        <w:rPr>
          <w:rFonts w:ascii="Open Sans" w:hAnsi="Open Sans"/>
          <w:b/>
          <w:bCs/>
          <w:color w:val="auto"/>
          <w:highlight w:val="yellow"/>
        </w:rPr>
        <w:t xml:space="preserve"> is not undertaking publicly funded work]</w:t>
      </w:r>
    </w:p>
    <w:p w14:paraId="11A02D31" w14:textId="47B4C7A1" w:rsidR="00117067" w:rsidRPr="00117067" w:rsidRDefault="00117067" w:rsidP="00117067">
      <w:pPr>
        <w:jc w:val="both"/>
        <w:rPr>
          <w:rFonts w:ascii="Open Sans" w:hAnsi="Open Sans"/>
          <w:color w:val="auto"/>
        </w:rPr>
      </w:pPr>
      <w:r w:rsidRPr="00117067">
        <w:rPr>
          <w:rFonts w:ascii="Open Sans" w:hAnsi="Open Sans"/>
          <w:color w:val="auto"/>
        </w:rPr>
        <w:t xml:space="preserve">The Caldicott Guardian for </w:t>
      </w:r>
      <w:sdt>
        <w:sdtPr>
          <w:rPr>
            <w:rFonts w:ascii="Open Sans" w:hAnsi="Open Sans"/>
            <w:color w:val="auto"/>
          </w:rPr>
          <w:tag w:val="HD:1.187.0.0:0973a824-edc6-47c5-8f61-17d3e1e090b3"/>
          <w:id w:val="-440688881"/>
          <w:placeholder>
            <w:docPart w:val="2BBDCD16D8AA4DD9817C69CF88ABF4D9"/>
          </w:placeholder>
        </w:sdtPr>
        <w:sdtContent>
          <w:r w:rsidR="00AA04EC">
            <w:rPr>
              <w:rFonts w:ascii="Open Sans" w:hAnsi="Open Sans"/>
              <w:noProof/>
              <w:color w:val="auto"/>
            </w:rPr>
            <w:t>[</w:t>
          </w:r>
          <w:r w:rsidR="00AA04EC" w:rsidRPr="00AA04EC">
            <w:rPr>
              <w:rFonts w:ascii="Open Sans" w:hAnsi="Open Sans"/>
              <w:noProof/>
              <w:color w:val="0000FF"/>
            </w:rPr>
            <w:t>Company Name</w:t>
          </w:r>
          <w:r w:rsidR="00AA04EC">
            <w:rPr>
              <w:rFonts w:ascii="Open Sans" w:hAnsi="Open Sans"/>
              <w:noProof/>
              <w:color w:val="auto"/>
            </w:rPr>
            <w:t>]</w:t>
          </w:r>
        </w:sdtContent>
      </w:sdt>
      <w:r w:rsidRPr="00117067">
        <w:rPr>
          <w:rFonts w:ascii="Open Sans" w:hAnsi="Open Sans"/>
          <w:color w:val="auto"/>
        </w:rPr>
        <w:t xml:space="preserve"> is </w:t>
      </w:r>
      <w:sdt>
        <w:sdtPr>
          <w:rPr>
            <w:rFonts w:ascii="Open Sans" w:hAnsi="Open Sans"/>
            <w:color w:val="auto"/>
          </w:rPr>
          <w:tag w:val="HD:1.187.0.0:92c7dcb6-153d-465f-876b-f20fb491988d"/>
          <w:id w:val="501013407"/>
          <w:placeholder>
            <w:docPart w:val="72BD270B3A7743D88EA6A6AA7C2D8A4A"/>
          </w:placeholder>
        </w:sdtPr>
        <w:sdtContent>
          <w:r w:rsidR="00FB0CAA">
            <w:rPr>
              <w:rFonts w:ascii="Open Sans" w:hAnsi="Open Sans"/>
              <w:noProof/>
              <w:color w:val="auto"/>
            </w:rPr>
            <w:t>[</w:t>
          </w:r>
          <w:r w:rsidR="00FB0CAA" w:rsidRPr="00FB0CAA">
            <w:rPr>
              <w:rFonts w:ascii="Open Sans" w:hAnsi="Open Sans"/>
              <w:noProof/>
              <w:color w:val="0000FF"/>
            </w:rPr>
            <w:t>Caldicott Guardian Name</w:t>
          </w:r>
          <w:r w:rsidR="00FB0CAA">
            <w:rPr>
              <w:rFonts w:ascii="Open Sans" w:hAnsi="Open Sans"/>
              <w:noProof/>
              <w:color w:val="auto"/>
            </w:rPr>
            <w:t>]</w:t>
          </w:r>
        </w:sdtContent>
      </w:sdt>
      <w:r w:rsidRPr="00117067">
        <w:rPr>
          <w:rFonts w:ascii="Open Sans" w:hAnsi="Open Sans"/>
          <w:color w:val="auto"/>
        </w:rPr>
        <w:t>. The Caldicott Guardian is the officer responsible for overseeing all aspects of confidentiality and security in relation to client-identifiable information. The Caldicott Guardian must ensure that personal health information is kept confidential and that clients are informed and involved in decisions about the use of their information. The Caldicott Guardian’s contact details will be recorded on Caldicott Guardian register, maintained by NHS Digital. The Guardian's responsibilities include:</w:t>
      </w:r>
    </w:p>
    <w:p w14:paraId="48F26A92" w14:textId="77777777" w:rsidR="00117067" w:rsidRPr="00117067" w:rsidRDefault="00117067" w:rsidP="00117067">
      <w:pPr>
        <w:numPr>
          <w:ilvl w:val="0"/>
          <w:numId w:val="34"/>
        </w:numPr>
        <w:contextualSpacing/>
        <w:jc w:val="both"/>
        <w:rPr>
          <w:rFonts w:ascii="Open Sans" w:hAnsi="Open Sans"/>
          <w:color w:val="auto"/>
        </w:rPr>
      </w:pPr>
      <w:r w:rsidRPr="00117067">
        <w:rPr>
          <w:rFonts w:ascii="Open Sans" w:hAnsi="Open Sans"/>
          <w:color w:val="auto"/>
        </w:rPr>
        <w:t>auditing current practice and procedures</w:t>
      </w:r>
    </w:p>
    <w:p w14:paraId="16EF3E9B" w14:textId="77777777" w:rsidR="00117067" w:rsidRPr="00117067" w:rsidRDefault="00117067" w:rsidP="00117067">
      <w:pPr>
        <w:numPr>
          <w:ilvl w:val="0"/>
          <w:numId w:val="34"/>
        </w:numPr>
        <w:contextualSpacing/>
        <w:jc w:val="both"/>
        <w:rPr>
          <w:rFonts w:ascii="Open Sans" w:hAnsi="Open Sans"/>
          <w:color w:val="auto"/>
        </w:rPr>
      </w:pPr>
      <w:r w:rsidRPr="00117067">
        <w:rPr>
          <w:rFonts w:ascii="Open Sans" w:hAnsi="Open Sans"/>
          <w:color w:val="auto"/>
        </w:rPr>
        <w:t>managing an improvement plan that is monitored through the clinical and corporate governance frameworks</w:t>
      </w:r>
    </w:p>
    <w:p w14:paraId="7341726F" w14:textId="77777777" w:rsidR="00117067" w:rsidRPr="00117067" w:rsidRDefault="00117067" w:rsidP="00117067">
      <w:pPr>
        <w:numPr>
          <w:ilvl w:val="0"/>
          <w:numId w:val="34"/>
        </w:numPr>
        <w:contextualSpacing/>
        <w:jc w:val="both"/>
        <w:rPr>
          <w:rFonts w:ascii="Open Sans" w:hAnsi="Open Sans"/>
          <w:color w:val="auto"/>
        </w:rPr>
      </w:pPr>
      <w:r w:rsidRPr="00117067">
        <w:rPr>
          <w:rFonts w:ascii="Open Sans" w:hAnsi="Open Sans"/>
          <w:color w:val="auto"/>
        </w:rPr>
        <w:t xml:space="preserve">developing protocols for inter­agency information sharing at a local level </w:t>
      </w:r>
    </w:p>
    <w:p w14:paraId="30CFFA05" w14:textId="77777777" w:rsidR="00117067" w:rsidRDefault="00117067" w:rsidP="00117067">
      <w:pPr>
        <w:numPr>
          <w:ilvl w:val="0"/>
          <w:numId w:val="34"/>
        </w:numPr>
        <w:contextualSpacing/>
        <w:jc w:val="both"/>
        <w:rPr>
          <w:rFonts w:ascii="Open Sans" w:hAnsi="Open Sans"/>
          <w:color w:val="auto"/>
        </w:rPr>
      </w:pPr>
      <w:r w:rsidRPr="00117067">
        <w:rPr>
          <w:rFonts w:ascii="Open Sans" w:hAnsi="Open Sans"/>
          <w:color w:val="auto"/>
        </w:rPr>
        <w:t xml:space="preserve">making decisions about </w:t>
      </w:r>
      <w:r w:rsidRPr="008566AC">
        <w:rPr>
          <w:rFonts w:ascii="Open Sans" w:hAnsi="Open Sans"/>
          <w:color w:val="auto"/>
        </w:rPr>
        <w:t>how the Company uses</w:t>
      </w:r>
      <w:r w:rsidRPr="00117067">
        <w:rPr>
          <w:rFonts w:ascii="Open Sans" w:hAnsi="Open Sans"/>
          <w:color w:val="auto"/>
        </w:rPr>
        <w:t xml:space="preserve"> clients identifying information (e.g., provide advice in relation to research studies or disclosure in the public interest).</w:t>
      </w:r>
    </w:p>
    <w:p w14:paraId="123DF1E9" w14:textId="77777777" w:rsidR="00FB0CAA" w:rsidRPr="00117067" w:rsidRDefault="00FB0CAA" w:rsidP="00FB0CAA">
      <w:pPr>
        <w:ind w:left="720"/>
        <w:contextualSpacing/>
        <w:jc w:val="both"/>
        <w:rPr>
          <w:rFonts w:ascii="Open Sans" w:hAnsi="Open Sans"/>
          <w:color w:val="auto"/>
        </w:rPr>
      </w:pPr>
    </w:p>
    <w:p w14:paraId="1BA96B3C" w14:textId="77777777" w:rsidR="007719A0" w:rsidRPr="006D10A8" w:rsidRDefault="007719A0" w:rsidP="007719A0">
      <w:pPr>
        <w:jc w:val="both"/>
        <w:rPr>
          <w:rFonts w:ascii="Open Sans" w:hAnsi="Open Sans"/>
          <w:color w:val="auto"/>
        </w:rPr>
      </w:pPr>
      <w:bookmarkStart w:id="8" w:name="_Hlk125986419"/>
      <w:r w:rsidRPr="006D10A8">
        <w:rPr>
          <w:rFonts w:ascii="Open Sans" w:hAnsi="Open Sans"/>
          <w:color w:val="auto"/>
          <w:highlight w:val="yellow"/>
        </w:rPr>
        <w:t>A Senior Information Risk Owner (SIRO) and Data Protection Officer (DPO) will also be appointed to seek advice on all aspects of data protection and confidentiality.</w:t>
      </w:r>
    </w:p>
    <w:bookmarkEnd w:id="8"/>
    <w:p w14:paraId="5836E2E0" w14:textId="77777777" w:rsidR="00117067" w:rsidRPr="00117067" w:rsidRDefault="00117067" w:rsidP="00117067">
      <w:pPr>
        <w:jc w:val="both"/>
        <w:rPr>
          <w:rFonts w:ascii="Open Sans" w:hAnsi="Open Sans"/>
          <w:b/>
          <w:bCs/>
          <w:color w:val="auto"/>
        </w:rPr>
      </w:pPr>
    </w:p>
    <w:p w14:paraId="4CAA9027" w14:textId="77777777" w:rsidR="00117067" w:rsidRPr="00117067" w:rsidRDefault="00117067" w:rsidP="00117067">
      <w:pPr>
        <w:jc w:val="both"/>
        <w:rPr>
          <w:rFonts w:ascii="Open Sans" w:hAnsi="Open Sans"/>
          <w:color w:val="auto"/>
        </w:rPr>
      </w:pPr>
      <w:r w:rsidRPr="00117067">
        <w:rPr>
          <w:rFonts w:ascii="Open Sans" w:hAnsi="Open Sans"/>
          <w:b/>
          <w:bCs/>
          <w:color w:val="auto"/>
        </w:rPr>
        <w:t>The Caldicott Principles</w:t>
      </w:r>
    </w:p>
    <w:p w14:paraId="46690DC5" w14:textId="77777777" w:rsidR="00117067" w:rsidRPr="00117067" w:rsidRDefault="00117067" w:rsidP="00117067">
      <w:pPr>
        <w:jc w:val="both"/>
        <w:rPr>
          <w:rFonts w:ascii="Open Sans" w:hAnsi="Open Sans"/>
          <w:color w:val="auto"/>
        </w:rPr>
      </w:pPr>
      <w:r w:rsidRPr="00117067">
        <w:rPr>
          <w:rFonts w:ascii="Open Sans" w:hAnsi="Open Sans"/>
          <w:color w:val="auto"/>
        </w:rPr>
        <w:t>Monitoring of client confidentiality must be made by the professional responsible for the client’s assessment, care or treatment, or on the advice of a senior professional or clinical supervisor within the service, which may include the Caldicott Guardian. The principles to which you are expected to work in relation to the client’s confidentiality are:</w:t>
      </w:r>
    </w:p>
    <w:p w14:paraId="47422418" w14:textId="6D9872F5" w:rsidR="00117067" w:rsidRPr="00117067" w:rsidRDefault="00117067" w:rsidP="00117067">
      <w:pPr>
        <w:numPr>
          <w:ilvl w:val="0"/>
          <w:numId w:val="35"/>
        </w:numPr>
        <w:contextualSpacing/>
        <w:jc w:val="both"/>
        <w:rPr>
          <w:rFonts w:ascii="Open Sans" w:hAnsi="Open Sans"/>
          <w:color w:val="auto"/>
        </w:rPr>
      </w:pPr>
      <w:r w:rsidRPr="00117067">
        <w:rPr>
          <w:rFonts w:ascii="Open Sans" w:hAnsi="Open Sans"/>
          <w:color w:val="auto"/>
        </w:rPr>
        <w:t xml:space="preserve">justify the purpose(s) for using confidential information </w:t>
      </w:r>
      <w:r w:rsidRPr="008566AC">
        <w:rPr>
          <w:rFonts w:ascii="Open Sans" w:hAnsi="Open Sans"/>
          <w:color w:val="auto"/>
        </w:rPr>
        <w:t xml:space="preserve">(e.g., every proposed use or transfer of client identifiable information within or from </w:t>
      </w:r>
      <w:sdt>
        <w:sdtPr>
          <w:rPr>
            <w:rFonts w:ascii="Open Sans" w:hAnsi="Open Sans"/>
            <w:color w:val="auto"/>
          </w:rPr>
          <w:tag w:val="HD:1.187.0.0:be3462b3-eb4e-4e95-8246-b4e6266e96fc"/>
          <w:id w:val="-1705240507"/>
          <w:placeholder>
            <w:docPart w:val="A4B7EFF39B0640CF933F23E7681A6A9B"/>
          </w:placeholder>
        </w:sdtPr>
        <w:sdtContent>
          <w:r w:rsidR="00AA04EC">
            <w:rPr>
              <w:rFonts w:ascii="Open Sans" w:hAnsi="Open Sans"/>
              <w:noProof/>
              <w:color w:val="auto"/>
            </w:rPr>
            <w:t>[</w:t>
          </w:r>
          <w:r w:rsidR="00AA04EC" w:rsidRPr="00AA04EC">
            <w:rPr>
              <w:rFonts w:ascii="Open Sans" w:hAnsi="Open Sans"/>
              <w:noProof/>
              <w:color w:val="0000FF"/>
            </w:rPr>
            <w:t>Company Name</w:t>
          </w:r>
          <w:r w:rsidR="00AA04EC">
            <w:rPr>
              <w:rFonts w:ascii="Open Sans" w:hAnsi="Open Sans"/>
              <w:noProof/>
              <w:color w:val="auto"/>
            </w:rPr>
            <w:t>]</w:t>
          </w:r>
        </w:sdtContent>
      </w:sdt>
      <w:r w:rsidRPr="00117067">
        <w:rPr>
          <w:rFonts w:ascii="Open Sans" w:hAnsi="Open Sans"/>
          <w:color w:val="auto"/>
        </w:rPr>
        <w:t xml:space="preserve"> should be clearly defined and scrutinised, with continuing being uses regularly reviewed by an appointed guardian)</w:t>
      </w:r>
    </w:p>
    <w:p w14:paraId="4F6F8B47" w14:textId="77777777" w:rsidR="00117067" w:rsidRPr="00117067" w:rsidRDefault="00117067" w:rsidP="00117067">
      <w:pPr>
        <w:numPr>
          <w:ilvl w:val="0"/>
          <w:numId w:val="35"/>
        </w:numPr>
        <w:contextualSpacing/>
        <w:jc w:val="both"/>
        <w:rPr>
          <w:rFonts w:ascii="Open Sans" w:hAnsi="Open Sans"/>
          <w:color w:val="auto"/>
        </w:rPr>
      </w:pPr>
      <w:r w:rsidRPr="00117067">
        <w:rPr>
          <w:rFonts w:ascii="Open Sans" w:hAnsi="Open Sans"/>
          <w:color w:val="auto"/>
        </w:rPr>
        <w:t>only use it when absolutely necessary (e.g., client identifiable information items should not be included unless it is essential for the specified purpose(s). The need for client to be identified should be considered at each stage to satisfying the purpose(s))</w:t>
      </w:r>
    </w:p>
    <w:p w14:paraId="053F057A" w14:textId="77777777" w:rsidR="00117067" w:rsidRPr="00117067" w:rsidRDefault="00117067" w:rsidP="00117067">
      <w:pPr>
        <w:numPr>
          <w:ilvl w:val="0"/>
          <w:numId w:val="35"/>
        </w:numPr>
        <w:contextualSpacing/>
        <w:jc w:val="both"/>
        <w:rPr>
          <w:rFonts w:ascii="Open Sans" w:hAnsi="Open Sans"/>
          <w:color w:val="auto"/>
        </w:rPr>
      </w:pPr>
      <w:r w:rsidRPr="00117067">
        <w:rPr>
          <w:rFonts w:ascii="Open Sans" w:hAnsi="Open Sans"/>
          <w:color w:val="auto"/>
        </w:rPr>
        <w:t>use the minimum that is required (e.g., where the use of client identifiable information is considered to be essential, the inclusion of each individual item of information should be considered and justified so that the minimum amount of identifiable information is transferred, or accessible, as is necessary for a given function to be carried out)</w:t>
      </w:r>
    </w:p>
    <w:p w14:paraId="5DC1D543" w14:textId="77777777" w:rsidR="00117067" w:rsidRPr="00117067" w:rsidRDefault="00117067" w:rsidP="00117067">
      <w:pPr>
        <w:numPr>
          <w:ilvl w:val="0"/>
          <w:numId w:val="35"/>
        </w:numPr>
        <w:contextualSpacing/>
        <w:jc w:val="both"/>
        <w:rPr>
          <w:rFonts w:ascii="Open Sans" w:hAnsi="Open Sans"/>
          <w:color w:val="auto"/>
        </w:rPr>
      </w:pPr>
      <w:r w:rsidRPr="00117067">
        <w:rPr>
          <w:rFonts w:ascii="Open Sans" w:hAnsi="Open Sans"/>
          <w:color w:val="auto"/>
        </w:rPr>
        <w:t>access should be on a strict ‘</w:t>
      </w:r>
      <w:r w:rsidRPr="00117067">
        <w:rPr>
          <w:rFonts w:ascii="Open Sans" w:hAnsi="Open Sans"/>
          <w:b/>
          <w:bCs/>
          <w:color w:val="auto"/>
        </w:rPr>
        <w:t>need to know’</w:t>
      </w:r>
      <w:r w:rsidRPr="00117067">
        <w:rPr>
          <w:rFonts w:ascii="Open Sans" w:hAnsi="Open Sans"/>
          <w:color w:val="auto"/>
        </w:rPr>
        <w:t xml:space="preserve"> basis (e.g., only those individuals who need access to client identifiable information should have access to it and they should only have access to the information items that they need to see</w:t>
      </w:r>
    </w:p>
    <w:p w14:paraId="701F512A" w14:textId="77777777" w:rsidR="00117067" w:rsidRPr="00117067" w:rsidRDefault="00117067" w:rsidP="00117067">
      <w:pPr>
        <w:numPr>
          <w:ilvl w:val="0"/>
          <w:numId w:val="35"/>
        </w:numPr>
        <w:contextualSpacing/>
        <w:jc w:val="both"/>
        <w:rPr>
          <w:rFonts w:ascii="Open Sans" w:hAnsi="Open Sans"/>
          <w:color w:val="auto"/>
        </w:rPr>
      </w:pPr>
      <w:r w:rsidRPr="00117067">
        <w:rPr>
          <w:rFonts w:ascii="Open Sans" w:hAnsi="Open Sans"/>
          <w:color w:val="auto"/>
        </w:rPr>
        <w:t>everyone must understand his or her responsibilities (e.g., action should be taken to ensure that those handling client identifiable information, both clinical and non-clinical, are made fully aware of their responsibilities and obligations to respect client confidentiality</w:t>
      </w:r>
    </w:p>
    <w:p w14:paraId="7C79B2B0" w14:textId="77777777" w:rsidR="00117067" w:rsidRPr="00117067" w:rsidRDefault="00117067" w:rsidP="00117067">
      <w:pPr>
        <w:numPr>
          <w:ilvl w:val="0"/>
          <w:numId w:val="35"/>
        </w:numPr>
        <w:contextualSpacing/>
        <w:jc w:val="both"/>
        <w:rPr>
          <w:rFonts w:ascii="Open Sans" w:hAnsi="Open Sans"/>
          <w:b/>
          <w:bCs/>
          <w:color w:val="auto"/>
        </w:rPr>
      </w:pPr>
      <w:r w:rsidRPr="00117067">
        <w:rPr>
          <w:rFonts w:ascii="Open Sans" w:hAnsi="Open Sans"/>
          <w:color w:val="auto"/>
        </w:rPr>
        <w:t xml:space="preserve">understand and comply with the law (e.g., every use of client identifiable information must be lawful). </w:t>
      </w:r>
    </w:p>
    <w:p w14:paraId="63C902A5" w14:textId="77777777" w:rsidR="00117067" w:rsidRPr="00117067" w:rsidRDefault="00117067" w:rsidP="00117067">
      <w:pPr>
        <w:numPr>
          <w:ilvl w:val="0"/>
          <w:numId w:val="35"/>
        </w:numPr>
        <w:contextualSpacing/>
        <w:jc w:val="both"/>
        <w:rPr>
          <w:rFonts w:ascii="Open Sans" w:hAnsi="Open Sans"/>
          <w:b/>
          <w:bCs/>
          <w:color w:val="auto"/>
        </w:rPr>
      </w:pPr>
      <w:r w:rsidRPr="00117067">
        <w:rPr>
          <w:rFonts w:ascii="Open Sans" w:hAnsi="Open Sans"/>
          <w:color w:val="auto"/>
        </w:rPr>
        <w:t xml:space="preserve">The duty to share information for individual care is as important as the duty to protect client confidentiality </w:t>
      </w:r>
    </w:p>
    <w:p w14:paraId="317765C2" w14:textId="77777777" w:rsidR="00117067" w:rsidRPr="00117067" w:rsidRDefault="00117067" w:rsidP="00117067">
      <w:pPr>
        <w:numPr>
          <w:ilvl w:val="0"/>
          <w:numId w:val="35"/>
        </w:numPr>
        <w:contextualSpacing/>
        <w:jc w:val="both"/>
        <w:rPr>
          <w:rFonts w:ascii="Open Sans" w:hAnsi="Open Sans"/>
          <w:b/>
          <w:bCs/>
          <w:color w:val="auto"/>
        </w:rPr>
      </w:pPr>
      <w:r w:rsidRPr="00117067">
        <w:rPr>
          <w:rFonts w:ascii="Open Sans" w:hAnsi="Open Sans"/>
          <w:color w:val="auto"/>
        </w:rPr>
        <w:t>Inform clients about how their confidential information is used</w:t>
      </w:r>
    </w:p>
    <w:p w14:paraId="4C8799F2" w14:textId="77777777" w:rsidR="00812F73" w:rsidRPr="002B681F" w:rsidRDefault="00812F73" w:rsidP="00812F73">
      <w:pPr>
        <w:rPr>
          <w:rFonts w:ascii="Open Sans" w:hAnsi="Open Sans" w:cs="Open Sans"/>
          <w:color w:val="auto"/>
        </w:rPr>
      </w:pPr>
    </w:p>
    <w:p w14:paraId="0929A3EC" w14:textId="77777777" w:rsidR="00127C42" w:rsidRPr="002B681F" w:rsidRDefault="00117067" w:rsidP="000269C5">
      <w:pPr>
        <w:pStyle w:val="Heading1"/>
      </w:pPr>
      <w:bookmarkStart w:id="9" w:name="_Toc147998791"/>
      <w:r>
        <w:lastRenderedPageBreak/>
        <w:t>Legal Considerations</w:t>
      </w:r>
      <w:bookmarkEnd w:id="9"/>
      <w:r>
        <w:t xml:space="preserve"> </w:t>
      </w:r>
    </w:p>
    <w:p w14:paraId="1D824165" w14:textId="77777777" w:rsidR="00EA546D" w:rsidRPr="00EA546D" w:rsidRDefault="00EA546D" w:rsidP="00EA546D">
      <w:pPr>
        <w:jc w:val="both"/>
        <w:rPr>
          <w:rFonts w:ascii="Open Sans" w:hAnsi="Open Sans"/>
          <w:color w:val="auto"/>
        </w:rPr>
      </w:pPr>
      <w:r w:rsidRPr="00EA546D">
        <w:rPr>
          <w:rFonts w:ascii="Open Sans" w:hAnsi="Open Sans"/>
          <w:color w:val="auto"/>
        </w:rPr>
        <w:t>Under common law, staff members are permitted to disclose personal information in order to prevent and support detection, investigation and punishment of a serious crime and/or to prevent abuse or serious harm to others where they judge, on a case-by-case basis, that the public good that would be achieved by the disclosure outweighs both the obligation of confidentiality to the individual client concerned and the broader public interest in the provision of a confidential service.</w:t>
      </w:r>
    </w:p>
    <w:p w14:paraId="29137D0F" w14:textId="77777777" w:rsidR="00EA546D" w:rsidRPr="00EA546D" w:rsidRDefault="00EA546D" w:rsidP="00EA546D">
      <w:pPr>
        <w:jc w:val="both"/>
        <w:rPr>
          <w:rFonts w:ascii="Open Sans" w:hAnsi="Open Sans"/>
          <w:color w:val="auto"/>
        </w:rPr>
      </w:pPr>
      <w:r w:rsidRPr="00EA546D">
        <w:rPr>
          <w:rFonts w:ascii="Open Sans" w:hAnsi="Open Sans"/>
          <w:color w:val="auto"/>
        </w:rPr>
        <w:t xml:space="preserve">Confidentiality must not be confused with secrecy. Consent to share information should be sought, but if this is not possible and others are at risk, it may be necessary to over-ride the requirement. It is inappropriate for staff members agencies to give assurances of absolute confidentiality in cases where there are concerns about abuse, particularly those situations where other people may be at risk. </w:t>
      </w:r>
    </w:p>
    <w:p w14:paraId="6BB17938" w14:textId="77777777" w:rsidR="00EA546D" w:rsidRPr="00EA546D" w:rsidRDefault="00EA546D" w:rsidP="00EA546D">
      <w:pPr>
        <w:jc w:val="both"/>
        <w:rPr>
          <w:rFonts w:ascii="Open Sans" w:hAnsi="Open Sans"/>
          <w:b/>
          <w:bCs/>
          <w:color w:val="auto"/>
        </w:rPr>
      </w:pPr>
    </w:p>
    <w:p w14:paraId="12845235" w14:textId="77777777" w:rsidR="00EA546D" w:rsidRPr="00EA546D" w:rsidRDefault="00EA546D" w:rsidP="00EA546D">
      <w:pPr>
        <w:jc w:val="both"/>
        <w:rPr>
          <w:rFonts w:ascii="Open Sans" w:hAnsi="Open Sans"/>
          <w:b/>
          <w:bCs/>
          <w:color w:val="auto"/>
        </w:rPr>
      </w:pPr>
      <w:r w:rsidRPr="00EA546D">
        <w:rPr>
          <w:rFonts w:ascii="Open Sans" w:hAnsi="Open Sans"/>
          <w:b/>
          <w:bCs/>
          <w:color w:val="auto"/>
        </w:rPr>
        <w:t>Sharing confidential information without consent for purposes other than direct care</w:t>
      </w:r>
    </w:p>
    <w:p w14:paraId="79526E47" w14:textId="77777777" w:rsidR="00EA546D" w:rsidRPr="00EA546D" w:rsidRDefault="00EA546D" w:rsidP="00EA546D">
      <w:pPr>
        <w:jc w:val="both"/>
        <w:rPr>
          <w:rFonts w:ascii="Open Sans" w:hAnsi="Open Sans"/>
          <w:color w:val="auto"/>
        </w:rPr>
      </w:pPr>
      <w:r w:rsidRPr="00EA546D">
        <w:rPr>
          <w:rFonts w:ascii="Open Sans" w:hAnsi="Open Sans"/>
          <w:color w:val="auto"/>
        </w:rPr>
        <w:t>There may be circumstances where it is not practicable to use de-identified information or to get consent and, in these cases, confidential information may be shared but only if there is a legal basis for the information sharing. Requirements for consent should be considered against each of the following criteria:</w:t>
      </w:r>
    </w:p>
    <w:p w14:paraId="6A5D8E61" w14:textId="77777777" w:rsidR="00EA546D" w:rsidRPr="00EA546D" w:rsidRDefault="00EA546D" w:rsidP="00EA546D">
      <w:pPr>
        <w:pStyle w:val="ListParagraph"/>
        <w:numPr>
          <w:ilvl w:val="0"/>
          <w:numId w:val="36"/>
        </w:numPr>
        <w:jc w:val="both"/>
        <w:rPr>
          <w:rFonts w:ascii="Open Sans" w:hAnsi="Open Sans"/>
          <w:color w:val="auto"/>
        </w:rPr>
      </w:pPr>
      <w:r w:rsidRPr="00EA546D">
        <w:rPr>
          <w:rFonts w:ascii="Open Sans" w:hAnsi="Open Sans"/>
          <w:b/>
          <w:bCs/>
          <w:color w:val="auto"/>
        </w:rPr>
        <w:t>Legal Requirement</w:t>
      </w:r>
      <w:r w:rsidRPr="00EA546D">
        <w:rPr>
          <w:rFonts w:ascii="Open Sans" w:hAnsi="Open Sans"/>
          <w:color w:val="auto"/>
        </w:rPr>
        <w:t>: the law requires clinicians to disclose information irrespective of the views of a client (e.g., if clients contract certain notifiable diseases. The Data Protection Act requires that the client be told about the disclosure).</w:t>
      </w:r>
    </w:p>
    <w:p w14:paraId="222C115B" w14:textId="77777777" w:rsidR="00EA546D" w:rsidRPr="00EA546D" w:rsidRDefault="00EA546D" w:rsidP="00EA546D">
      <w:pPr>
        <w:pStyle w:val="ListParagraph"/>
        <w:numPr>
          <w:ilvl w:val="0"/>
          <w:numId w:val="36"/>
        </w:numPr>
        <w:jc w:val="both"/>
        <w:rPr>
          <w:rFonts w:ascii="Open Sans" w:hAnsi="Open Sans"/>
          <w:color w:val="auto"/>
        </w:rPr>
      </w:pPr>
      <w:r w:rsidRPr="00EA546D">
        <w:rPr>
          <w:rFonts w:ascii="Open Sans" w:hAnsi="Open Sans"/>
          <w:b/>
          <w:bCs/>
          <w:color w:val="auto"/>
        </w:rPr>
        <w:t>To protect a client’s vital interests</w:t>
      </w:r>
      <w:r w:rsidRPr="00EA546D">
        <w:rPr>
          <w:rFonts w:ascii="Open Sans" w:hAnsi="Open Sans"/>
          <w:color w:val="auto"/>
        </w:rPr>
        <w:t>: for example, where a healthcare professional is concerned that a child or adult may be at risk of death or serious harm. Professionals who have such concerns should draw the individual to the attention of the relevant authorities.</w:t>
      </w:r>
    </w:p>
    <w:p w14:paraId="0FA29C0A" w14:textId="77777777" w:rsidR="00EA546D" w:rsidRPr="00EA546D" w:rsidRDefault="00EA546D" w:rsidP="00EA546D">
      <w:pPr>
        <w:pStyle w:val="ListParagraph"/>
        <w:numPr>
          <w:ilvl w:val="0"/>
          <w:numId w:val="36"/>
        </w:numPr>
        <w:jc w:val="both"/>
        <w:rPr>
          <w:rFonts w:ascii="Open Sans" w:hAnsi="Open Sans"/>
          <w:color w:val="auto"/>
        </w:rPr>
      </w:pPr>
      <w:r w:rsidRPr="00EA546D">
        <w:rPr>
          <w:rFonts w:ascii="Open Sans" w:hAnsi="Open Sans"/>
          <w:b/>
          <w:bCs/>
          <w:color w:val="auto"/>
        </w:rPr>
        <w:t>In the interest of the public</w:t>
      </w:r>
      <w:r w:rsidRPr="00EA546D">
        <w:rPr>
          <w:rFonts w:ascii="Open Sans" w:hAnsi="Open Sans"/>
          <w:color w:val="auto"/>
        </w:rPr>
        <w:t xml:space="preserve">: </w:t>
      </w:r>
    </w:p>
    <w:p w14:paraId="6C48E626"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when there is a serious risk to public health</w:t>
      </w:r>
    </w:p>
    <w:p w14:paraId="43B23AB0"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when there is a risk of serious physical/mental harm to the individual or those known to the individual</w:t>
      </w:r>
    </w:p>
    <w:p w14:paraId="27824795"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for the prevention, detection or prosecution of a serious crime</w:t>
      </w:r>
    </w:p>
    <w:p w14:paraId="4C00EA35"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where disclosure is necessary to protect vital interests (i.e., where there is knowledge or belief of abuse or neglect of a child or adult at risk)</w:t>
      </w:r>
    </w:p>
    <w:p w14:paraId="5A25CD3E"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circumstances detailed in any Dangerous Persons Policy or guidance</w:t>
      </w:r>
    </w:p>
    <w:p w14:paraId="773FA321" w14:textId="77777777" w:rsidR="00EA546D" w:rsidRPr="00EA546D" w:rsidRDefault="00EA546D" w:rsidP="00EA546D">
      <w:pPr>
        <w:pStyle w:val="ListParagraph"/>
        <w:numPr>
          <w:ilvl w:val="1"/>
          <w:numId w:val="36"/>
        </w:numPr>
        <w:jc w:val="both"/>
        <w:rPr>
          <w:rFonts w:ascii="Open Sans" w:hAnsi="Open Sans"/>
          <w:color w:val="auto"/>
        </w:rPr>
      </w:pPr>
      <w:r w:rsidRPr="00EA546D">
        <w:rPr>
          <w:rFonts w:ascii="Open Sans" w:hAnsi="Open Sans"/>
          <w:color w:val="auto"/>
        </w:rPr>
        <w:t xml:space="preserve">where the disclosure is otherwise lawful (e.g., covered by section 60 of the Health and Social Care Act).   </w:t>
      </w:r>
    </w:p>
    <w:p w14:paraId="5F62207F" w14:textId="77777777" w:rsidR="00EA546D" w:rsidRPr="00EA546D" w:rsidRDefault="00EA546D" w:rsidP="00EA546D">
      <w:pPr>
        <w:pStyle w:val="ListParagraph"/>
        <w:numPr>
          <w:ilvl w:val="0"/>
          <w:numId w:val="36"/>
        </w:numPr>
        <w:jc w:val="both"/>
        <w:rPr>
          <w:rFonts w:ascii="Open Sans" w:hAnsi="Open Sans"/>
          <w:color w:val="auto"/>
        </w:rPr>
      </w:pPr>
      <w:r w:rsidRPr="00EA546D">
        <w:rPr>
          <w:rFonts w:ascii="Open Sans" w:hAnsi="Open Sans"/>
          <w:b/>
          <w:bCs/>
          <w:color w:val="auto"/>
        </w:rPr>
        <w:lastRenderedPageBreak/>
        <w:t>Children and adults</w:t>
      </w:r>
      <w:r w:rsidRPr="00EA546D">
        <w:rPr>
          <w:rFonts w:ascii="Open Sans" w:hAnsi="Open Sans"/>
          <w:color w:val="auto"/>
        </w:rPr>
        <w:t xml:space="preserve"> </w:t>
      </w:r>
      <w:r w:rsidRPr="00EA546D">
        <w:rPr>
          <w:rFonts w:ascii="Open Sans" w:hAnsi="Open Sans"/>
          <w:b/>
          <w:bCs/>
          <w:color w:val="auto"/>
        </w:rPr>
        <w:t>who are unable to consent</w:t>
      </w:r>
      <w:r w:rsidRPr="00EA546D">
        <w:rPr>
          <w:rFonts w:ascii="Open Sans" w:hAnsi="Open Sans"/>
          <w:color w:val="auto"/>
        </w:rPr>
        <w:t xml:space="preserve">: a client is unable to give consent (e.g., some children, adults with incapacity and/or the critically ill). In many of these cases, particularly in the case of children, there will be someone (e.g., a parent) who is legally entitled to give consent on their behalf. </w:t>
      </w:r>
      <w:r w:rsidRPr="00EA546D">
        <w:rPr>
          <w:rFonts w:ascii="Open Sans" w:hAnsi="Open Sans"/>
          <w:color w:val="auto"/>
        </w:rPr>
        <w:cr/>
      </w:r>
    </w:p>
    <w:p w14:paraId="52859D8C" w14:textId="77777777" w:rsidR="00EA546D" w:rsidRPr="00EA546D" w:rsidRDefault="00EA546D" w:rsidP="00EA546D">
      <w:pPr>
        <w:jc w:val="both"/>
        <w:rPr>
          <w:rFonts w:ascii="Open Sans" w:hAnsi="Open Sans"/>
          <w:color w:val="auto"/>
        </w:rPr>
      </w:pPr>
      <w:r w:rsidRPr="00EA546D">
        <w:rPr>
          <w:rFonts w:ascii="Open Sans" w:hAnsi="Open Sans"/>
          <w:color w:val="auto"/>
        </w:rPr>
        <w:t xml:space="preserve">Both the Data Protection Act and professional standards specifically allow for information to be disclosed in this way. </w:t>
      </w:r>
    </w:p>
    <w:p w14:paraId="6AF9F5E6" w14:textId="7C4532D7" w:rsidR="00EA546D" w:rsidRPr="00EA546D" w:rsidRDefault="00EA546D" w:rsidP="00EA546D">
      <w:pPr>
        <w:jc w:val="both"/>
        <w:rPr>
          <w:rFonts w:ascii="Open Sans" w:hAnsi="Open Sans"/>
          <w:color w:val="auto"/>
        </w:rPr>
      </w:pPr>
      <w:r w:rsidRPr="00EA546D">
        <w:rPr>
          <w:rFonts w:ascii="Open Sans" w:hAnsi="Open Sans"/>
          <w:color w:val="auto"/>
        </w:rPr>
        <w:t>The senior healthcare professional on duty must be prepared to balance the considerations for and against disclosure in the interests of the client and any third party and also justify and record each decision to disclose or withhold.  It will, therefore, be a matter for the healthcare professional’s best judgement, as well as legal and professional guidance. Decisions should be taken on a case-by-case basis in the light of best available information, which may include advice from the Data Protection Officer (DPO) or Caldicott Guardian. Wherever possible, the client should be informed what information has been disclosed and to whom.</w:t>
      </w:r>
    </w:p>
    <w:p w14:paraId="125B63EE" w14:textId="77777777" w:rsidR="00A10050" w:rsidRPr="002B681F" w:rsidRDefault="00A10050" w:rsidP="00A10050">
      <w:pPr>
        <w:rPr>
          <w:rFonts w:ascii="Open Sans" w:hAnsi="Open Sans" w:cs="Open Sans"/>
          <w:color w:val="auto"/>
        </w:rPr>
      </w:pPr>
    </w:p>
    <w:p w14:paraId="5715602D" w14:textId="77777777" w:rsidR="00131950" w:rsidRPr="002B681F" w:rsidRDefault="00EA546D" w:rsidP="000269C5">
      <w:pPr>
        <w:pStyle w:val="Heading1"/>
      </w:pPr>
      <w:bookmarkStart w:id="10" w:name="_Toc147998792"/>
      <w:r>
        <w:t>Direct Care and Informing Clients Effectively</w:t>
      </w:r>
      <w:bookmarkEnd w:id="10"/>
    </w:p>
    <w:p w14:paraId="6A177975" w14:textId="77777777" w:rsidR="004D6E76" w:rsidRPr="004D6E76" w:rsidRDefault="004D6E76" w:rsidP="004D6E76">
      <w:pPr>
        <w:jc w:val="both"/>
        <w:rPr>
          <w:rFonts w:ascii="Open Sans" w:hAnsi="Open Sans"/>
          <w:color w:val="auto"/>
        </w:rPr>
      </w:pPr>
      <w:r w:rsidRPr="004D6E76">
        <w:rPr>
          <w:rFonts w:ascii="Open Sans" w:hAnsi="Open Sans"/>
          <w:color w:val="auto"/>
        </w:rPr>
        <w:t>Sharing of information should, where possible, be with the consent of the client. Clients should be informed of the purposes for which information about them may be recorded and shared. It is only with sufficient information that consent may be given. Clients should be given an opportunity to express their wishes as to how information should be used, and these wishes should be respected where possible.</w:t>
      </w:r>
    </w:p>
    <w:p w14:paraId="219B78EA" w14:textId="77777777" w:rsidR="004D6E76" w:rsidRPr="004D6E76" w:rsidRDefault="004D6E76" w:rsidP="004D6E76">
      <w:pPr>
        <w:jc w:val="both"/>
        <w:rPr>
          <w:rFonts w:ascii="Open Sans" w:hAnsi="Open Sans"/>
          <w:color w:val="auto"/>
        </w:rPr>
      </w:pPr>
      <w:r w:rsidRPr="004D6E76">
        <w:rPr>
          <w:rFonts w:ascii="Open Sans" w:hAnsi="Open Sans"/>
          <w:color w:val="auto"/>
        </w:rPr>
        <w:t xml:space="preserve">Clients have a right to expect that information about them will be held in confidence and protected at all times against improper use and disclosure. </w:t>
      </w:r>
    </w:p>
    <w:p w14:paraId="647A62B3" w14:textId="77777777" w:rsidR="004D6E76" w:rsidRPr="004D6E76" w:rsidRDefault="004D6E76" w:rsidP="004D6E76">
      <w:pPr>
        <w:jc w:val="both"/>
        <w:rPr>
          <w:rFonts w:ascii="Open Sans" w:hAnsi="Open Sans"/>
          <w:color w:val="auto"/>
        </w:rPr>
      </w:pPr>
      <w:r w:rsidRPr="004D6E76">
        <w:rPr>
          <w:rFonts w:ascii="Open Sans" w:hAnsi="Open Sans"/>
          <w:color w:val="auto"/>
        </w:rPr>
        <w:t>Under data protection law, you are responsible for client’s data, for storing it securely and protecting it from unauthorised or unlawful processing. You must make sure any personal information about clients that you hold, or control is effectively protected at all times against improper access, disclosure or loss. You must also make sure that identifiable client’s data is not improperly disclosed in any circumstances. An inadvertent breach of client confidentiality could result in disciplinary action or an investigation.</w:t>
      </w:r>
    </w:p>
    <w:p w14:paraId="462967FC" w14:textId="77777777" w:rsidR="004D6E76" w:rsidRPr="004D6E76" w:rsidRDefault="004D6E76" w:rsidP="004D6E76">
      <w:pPr>
        <w:jc w:val="both"/>
        <w:rPr>
          <w:rFonts w:ascii="Open Sans" w:hAnsi="Open Sans"/>
          <w:color w:val="auto"/>
        </w:rPr>
      </w:pPr>
      <w:r w:rsidRPr="004D6E76">
        <w:rPr>
          <w:rFonts w:ascii="Open Sans" w:hAnsi="Open Sans"/>
          <w:color w:val="auto"/>
        </w:rPr>
        <w:t xml:space="preserve">If in doubt, seek the advice of the local SIRO or Data Protection Officer. The following interactive guidance tool could help you to decide on any confidentiality decisions – </w:t>
      </w:r>
      <w:hyperlink r:id="rId12" w:history="1">
        <w:r w:rsidRPr="004D6E76">
          <w:rPr>
            <w:rFonts w:ascii="Open Sans" w:hAnsi="Open Sans"/>
            <w:color w:val="0000FF"/>
            <w:u w:val="single"/>
          </w:rPr>
          <w:t>https://www.gmc-uk.org/ethical-guidance/learning-materials/confidentiality-decision-tool</w:t>
        </w:r>
      </w:hyperlink>
    </w:p>
    <w:p w14:paraId="3D870B29" w14:textId="77777777" w:rsidR="004D6E76" w:rsidRPr="004D6E76" w:rsidRDefault="004D6E76" w:rsidP="004D6E76">
      <w:pPr>
        <w:jc w:val="both"/>
        <w:rPr>
          <w:rFonts w:ascii="Open Sans" w:hAnsi="Open Sans"/>
          <w:b/>
          <w:bCs/>
          <w:color w:val="auto"/>
        </w:rPr>
      </w:pPr>
    </w:p>
    <w:p w14:paraId="00C3EADB" w14:textId="77777777" w:rsidR="004D6E76" w:rsidRPr="004D6E76" w:rsidRDefault="004D6E76" w:rsidP="004D6E76">
      <w:pPr>
        <w:jc w:val="both"/>
        <w:rPr>
          <w:rFonts w:ascii="Open Sans" w:hAnsi="Open Sans"/>
          <w:b/>
          <w:bCs/>
          <w:color w:val="auto"/>
        </w:rPr>
      </w:pPr>
      <w:r w:rsidRPr="004D6E76">
        <w:rPr>
          <w:rFonts w:ascii="Open Sans" w:hAnsi="Open Sans"/>
          <w:b/>
          <w:bCs/>
          <w:color w:val="auto"/>
        </w:rPr>
        <w:t>Registered and regulated professionals</w:t>
      </w:r>
    </w:p>
    <w:p w14:paraId="7715878E" w14:textId="6D657619" w:rsidR="004D6E76" w:rsidRPr="004D6E76" w:rsidRDefault="004D6E76" w:rsidP="004D6E76">
      <w:pPr>
        <w:jc w:val="both"/>
        <w:rPr>
          <w:rFonts w:ascii="Open Sans" w:hAnsi="Open Sans"/>
          <w:color w:val="auto"/>
        </w:rPr>
      </w:pPr>
      <w:r w:rsidRPr="004D6E76">
        <w:rPr>
          <w:rFonts w:ascii="Open Sans" w:hAnsi="Open Sans"/>
          <w:color w:val="auto"/>
        </w:rPr>
        <w:t xml:space="preserve">Confidential information </w:t>
      </w:r>
      <w:r w:rsidR="00547DE8">
        <w:rPr>
          <w:rFonts w:ascii="Open Sans" w:hAnsi="Open Sans"/>
          <w:color w:val="auto"/>
        </w:rPr>
        <w:t xml:space="preserve">sometimes </w:t>
      </w:r>
      <w:r w:rsidRPr="004D6E76">
        <w:rPr>
          <w:rFonts w:ascii="Open Sans" w:hAnsi="Open Sans"/>
          <w:color w:val="auto"/>
        </w:rPr>
        <w:t>needs to be shared between registered and regulated health and social care professionals who have a legitimate relationship with the individual for the purposes of the individual’s direct care. A registered and regulated health or social care professional has a legitimate relationship with the client when any or all of the following criteria are met:</w:t>
      </w:r>
    </w:p>
    <w:p w14:paraId="0FFE550A"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individual presents themselves to the professional to receive care</w:t>
      </w:r>
    </w:p>
    <w:p w14:paraId="2B1128CA"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individual agrees to a referral from one care professional to another</w:t>
      </w:r>
    </w:p>
    <w:p w14:paraId="4C56A426"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individual is invited by a professional to take part in a screening or immunisation programme for which they are eligible, and they accept</w:t>
      </w:r>
    </w:p>
    <w:p w14:paraId="32E42CAF"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individual presents to a health or social care professional in an emergency situation where consent is not possible</w:t>
      </w:r>
    </w:p>
    <w:p w14:paraId="7692F81C"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relationship is part of a legal duty (e.g., contact tracing in public health)</w:t>
      </w:r>
    </w:p>
    <w:p w14:paraId="7F452F65" w14:textId="77777777" w:rsidR="004D6E76" w:rsidRPr="004D6E76" w:rsidRDefault="004D6E76" w:rsidP="004D6E76">
      <w:pPr>
        <w:numPr>
          <w:ilvl w:val="0"/>
          <w:numId w:val="38"/>
        </w:numPr>
        <w:contextualSpacing/>
        <w:jc w:val="both"/>
        <w:rPr>
          <w:rFonts w:ascii="Open Sans" w:hAnsi="Open Sans"/>
          <w:color w:val="auto"/>
        </w:rPr>
      </w:pPr>
      <w:r w:rsidRPr="004D6E76">
        <w:rPr>
          <w:rFonts w:ascii="Open Sans" w:hAnsi="Open Sans"/>
          <w:color w:val="auto"/>
        </w:rPr>
        <w:t>the individual is told of a proposed communication and does not object (e.g., the consultant in the ambulatory clinic says they will let the client’s social worker know of events in the clinic and the client does not object).</w:t>
      </w:r>
    </w:p>
    <w:p w14:paraId="1C38452E" w14:textId="77777777" w:rsidR="004D6E76" w:rsidRPr="004D6E76" w:rsidRDefault="004D6E76" w:rsidP="004D6E76">
      <w:pPr>
        <w:jc w:val="both"/>
        <w:rPr>
          <w:rFonts w:ascii="Open Sans" w:hAnsi="Open Sans"/>
          <w:color w:val="auto"/>
        </w:rPr>
      </w:pPr>
    </w:p>
    <w:p w14:paraId="35C2C98F" w14:textId="77777777" w:rsidR="004D6E76" w:rsidRPr="004D6E76" w:rsidRDefault="004D6E76" w:rsidP="004D6E76">
      <w:pPr>
        <w:jc w:val="both"/>
        <w:rPr>
          <w:rFonts w:ascii="Open Sans" w:hAnsi="Open Sans"/>
          <w:b/>
          <w:bCs/>
          <w:color w:val="auto"/>
        </w:rPr>
      </w:pPr>
      <w:r w:rsidRPr="004D6E76">
        <w:rPr>
          <w:rFonts w:ascii="Open Sans" w:hAnsi="Open Sans"/>
          <w:b/>
          <w:bCs/>
          <w:color w:val="auto"/>
        </w:rPr>
        <w:t>Carers, family members and friends</w:t>
      </w:r>
    </w:p>
    <w:p w14:paraId="0CBB303E" w14:textId="77777777" w:rsidR="004D6E76" w:rsidRPr="004D6E76" w:rsidRDefault="004D6E76" w:rsidP="004D6E76">
      <w:pPr>
        <w:jc w:val="both"/>
        <w:rPr>
          <w:rFonts w:ascii="Open Sans" w:hAnsi="Open Sans"/>
          <w:color w:val="auto"/>
        </w:rPr>
      </w:pPr>
      <w:r w:rsidRPr="004D6E76">
        <w:rPr>
          <w:rFonts w:ascii="Open Sans" w:hAnsi="Open Sans"/>
          <w:color w:val="auto"/>
        </w:rPr>
        <w:t>Some friends and/or family have a special relationship with the client, in that they act as a carer. Confidential information should be shared with the carer when the client has given explicit, informed consent. In circumstances where the client cannot give valid consent, confidential information should be shared with the carer subject to open dialogue with the client, if possible. If it is not possible to engage in an open dialogue, information should be shared with the carer in the incapacitated person’s best interests, when ALL of the following criteria are met:</w:t>
      </w:r>
    </w:p>
    <w:p w14:paraId="04368455" w14:textId="77777777" w:rsidR="004D6E76" w:rsidRPr="004D6E76" w:rsidRDefault="004D6E76" w:rsidP="004D6E76">
      <w:pPr>
        <w:numPr>
          <w:ilvl w:val="0"/>
          <w:numId w:val="37"/>
        </w:numPr>
        <w:contextualSpacing/>
        <w:jc w:val="both"/>
        <w:rPr>
          <w:rFonts w:ascii="Open Sans" w:hAnsi="Open Sans"/>
          <w:color w:val="auto"/>
        </w:rPr>
      </w:pPr>
      <w:r w:rsidRPr="004D6E76">
        <w:rPr>
          <w:rFonts w:ascii="Open Sans" w:hAnsi="Open Sans"/>
          <w:color w:val="auto"/>
        </w:rPr>
        <w:t>the client lacks capacity</w:t>
      </w:r>
    </w:p>
    <w:p w14:paraId="3A7F6122" w14:textId="77777777" w:rsidR="004D6E76" w:rsidRPr="004D6E76" w:rsidRDefault="004D6E76" w:rsidP="004D6E76">
      <w:pPr>
        <w:numPr>
          <w:ilvl w:val="0"/>
          <w:numId w:val="37"/>
        </w:numPr>
        <w:contextualSpacing/>
        <w:jc w:val="both"/>
        <w:rPr>
          <w:rFonts w:ascii="Open Sans" w:hAnsi="Open Sans"/>
          <w:color w:val="auto"/>
        </w:rPr>
      </w:pPr>
      <w:r w:rsidRPr="004D6E76">
        <w:rPr>
          <w:rFonts w:ascii="Open Sans" w:hAnsi="Open Sans"/>
          <w:color w:val="auto"/>
        </w:rPr>
        <w:t>the carer ‘cares for’ the client</w:t>
      </w:r>
    </w:p>
    <w:p w14:paraId="43BE2E4B" w14:textId="77777777" w:rsidR="004D6E76" w:rsidRPr="004D6E76" w:rsidRDefault="004D6E76" w:rsidP="004D6E76">
      <w:pPr>
        <w:numPr>
          <w:ilvl w:val="0"/>
          <w:numId w:val="37"/>
        </w:numPr>
        <w:contextualSpacing/>
        <w:jc w:val="both"/>
        <w:rPr>
          <w:rFonts w:ascii="Open Sans" w:hAnsi="Open Sans"/>
          <w:color w:val="auto"/>
        </w:rPr>
      </w:pPr>
      <w:r w:rsidRPr="004D6E76">
        <w:rPr>
          <w:rFonts w:ascii="Open Sans" w:hAnsi="Open Sans"/>
          <w:color w:val="auto"/>
        </w:rPr>
        <w:t>there is no legal documentation in place to prevent sharing</w:t>
      </w:r>
    </w:p>
    <w:p w14:paraId="7202BE06" w14:textId="77777777" w:rsidR="004D6E76" w:rsidRPr="004D6E76" w:rsidRDefault="004D6E76" w:rsidP="004D6E76">
      <w:pPr>
        <w:numPr>
          <w:ilvl w:val="0"/>
          <w:numId w:val="37"/>
        </w:numPr>
        <w:contextualSpacing/>
        <w:jc w:val="both"/>
        <w:rPr>
          <w:rFonts w:ascii="Open Sans" w:hAnsi="Open Sans"/>
          <w:color w:val="auto"/>
        </w:rPr>
      </w:pPr>
      <w:r w:rsidRPr="004D6E76">
        <w:rPr>
          <w:rFonts w:ascii="Open Sans" w:hAnsi="Open Sans"/>
          <w:color w:val="auto"/>
        </w:rPr>
        <w:t>there are no contra-indications to sharing in the client’s record</w:t>
      </w:r>
    </w:p>
    <w:p w14:paraId="6E40D0A8" w14:textId="77777777" w:rsidR="004D6E76" w:rsidRPr="004D6E76" w:rsidRDefault="004D6E76" w:rsidP="004D6E76">
      <w:pPr>
        <w:numPr>
          <w:ilvl w:val="0"/>
          <w:numId w:val="37"/>
        </w:numPr>
        <w:contextualSpacing/>
        <w:jc w:val="both"/>
        <w:rPr>
          <w:rFonts w:ascii="Open Sans" w:hAnsi="Open Sans"/>
          <w:color w:val="auto"/>
        </w:rPr>
      </w:pPr>
      <w:r w:rsidRPr="004D6E76">
        <w:rPr>
          <w:rFonts w:ascii="Open Sans" w:hAnsi="Open Sans"/>
          <w:color w:val="auto"/>
        </w:rPr>
        <w:t>there are no safeguarding issues apparent.</w:t>
      </w:r>
    </w:p>
    <w:p w14:paraId="4791AD33" w14:textId="77777777" w:rsidR="00F93B14" w:rsidRPr="002B681F" w:rsidRDefault="00F93B14" w:rsidP="00F93B14">
      <w:pPr>
        <w:rPr>
          <w:rFonts w:ascii="Open Sans" w:hAnsi="Open Sans" w:cs="Open Sans"/>
          <w:color w:val="auto"/>
          <w:lang w:eastAsia="en-GB"/>
        </w:rPr>
      </w:pPr>
    </w:p>
    <w:p w14:paraId="3AAE5438" w14:textId="77777777" w:rsidR="004F01F0" w:rsidRPr="002B681F" w:rsidRDefault="00AA03BC" w:rsidP="000269C5">
      <w:pPr>
        <w:pStyle w:val="Heading1"/>
      </w:pPr>
      <w:bookmarkStart w:id="11" w:name="_Toc147998793"/>
      <w:r>
        <w:t>Client Consent Cannot be Obtained</w:t>
      </w:r>
      <w:bookmarkEnd w:id="11"/>
    </w:p>
    <w:p w14:paraId="4CE1C840" w14:textId="77777777" w:rsidR="005C6D13" w:rsidRPr="005C6D13" w:rsidRDefault="005C6D13" w:rsidP="005C6D13">
      <w:pPr>
        <w:jc w:val="both"/>
        <w:rPr>
          <w:rFonts w:ascii="Open Sans" w:hAnsi="Open Sans"/>
          <w:color w:val="auto"/>
        </w:rPr>
      </w:pPr>
      <w:r w:rsidRPr="005C6D13">
        <w:rPr>
          <w:rFonts w:ascii="Open Sans" w:hAnsi="Open Sans"/>
          <w:color w:val="auto"/>
        </w:rPr>
        <w:t>In some circumstances it may not be possible to obtain consent because, in the opinion of the person responsible for the client’s care or well-being, the client:</w:t>
      </w:r>
    </w:p>
    <w:p w14:paraId="0CCC2C46" w14:textId="77777777" w:rsidR="005C6D13" w:rsidRPr="005C6D13" w:rsidRDefault="005C6D13" w:rsidP="005C6D13">
      <w:pPr>
        <w:numPr>
          <w:ilvl w:val="0"/>
          <w:numId w:val="39"/>
        </w:numPr>
        <w:contextualSpacing/>
        <w:jc w:val="both"/>
        <w:rPr>
          <w:rFonts w:ascii="Open Sans" w:hAnsi="Open Sans"/>
          <w:color w:val="auto"/>
        </w:rPr>
      </w:pPr>
      <w:r w:rsidRPr="005C6D13">
        <w:rPr>
          <w:rFonts w:ascii="Open Sans" w:hAnsi="Open Sans"/>
          <w:color w:val="auto"/>
        </w:rPr>
        <w:lastRenderedPageBreak/>
        <w:t>is too ill</w:t>
      </w:r>
    </w:p>
    <w:p w14:paraId="0FCB37EC" w14:textId="77777777" w:rsidR="005C6D13" w:rsidRPr="005C6D13" w:rsidRDefault="005C6D13" w:rsidP="005C6D13">
      <w:pPr>
        <w:numPr>
          <w:ilvl w:val="0"/>
          <w:numId w:val="39"/>
        </w:numPr>
        <w:contextualSpacing/>
        <w:jc w:val="both"/>
        <w:rPr>
          <w:rFonts w:ascii="Open Sans" w:hAnsi="Open Sans"/>
          <w:color w:val="auto"/>
        </w:rPr>
      </w:pPr>
      <w:r w:rsidRPr="005C6D13">
        <w:rPr>
          <w:rFonts w:ascii="Open Sans" w:hAnsi="Open Sans"/>
          <w:color w:val="auto"/>
        </w:rPr>
        <w:t>does not have the capacity to consent as per the Mental Capacity Act</w:t>
      </w:r>
    </w:p>
    <w:p w14:paraId="022D1EF2" w14:textId="77777777" w:rsidR="005C6D13" w:rsidRDefault="005C6D13" w:rsidP="005C6D13">
      <w:pPr>
        <w:numPr>
          <w:ilvl w:val="0"/>
          <w:numId w:val="39"/>
        </w:numPr>
        <w:contextualSpacing/>
        <w:jc w:val="both"/>
        <w:rPr>
          <w:rFonts w:ascii="Open Sans" w:hAnsi="Open Sans"/>
          <w:color w:val="auto"/>
        </w:rPr>
      </w:pPr>
      <w:r w:rsidRPr="005C6D13">
        <w:rPr>
          <w:rFonts w:ascii="Open Sans" w:hAnsi="Open Sans"/>
          <w:color w:val="auto"/>
        </w:rPr>
        <w:t>the situation is urgent, and the individual cannot be located to obtain consent.</w:t>
      </w:r>
    </w:p>
    <w:p w14:paraId="753137CF" w14:textId="77777777" w:rsidR="00FB0CAA" w:rsidRPr="005C6D13" w:rsidRDefault="00FB0CAA" w:rsidP="00FB0CAA">
      <w:pPr>
        <w:ind w:left="720"/>
        <w:contextualSpacing/>
        <w:jc w:val="both"/>
        <w:rPr>
          <w:rFonts w:ascii="Open Sans" w:hAnsi="Open Sans"/>
          <w:color w:val="auto"/>
        </w:rPr>
      </w:pPr>
    </w:p>
    <w:p w14:paraId="1808E4F6" w14:textId="77777777" w:rsidR="005C6D13" w:rsidRPr="005C6D13" w:rsidRDefault="005C6D13" w:rsidP="005C6D13">
      <w:pPr>
        <w:jc w:val="both"/>
        <w:rPr>
          <w:rFonts w:ascii="Open Sans" w:hAnsi="Open Sans"/>
          <w:b/>
          <w:bCs/>
          <w:color w:val="auto"/>
        </w:rPr>
      </w:pPr>
      <w:r w:rsidRPr="005C6D13">
        <w:rPr>
          <w:rFonts w:ascii="Open Sans" w:hAnsi="Open Sans"/>
          <w:color w:val="auto"/>
        </w:rPr>
        <w:t>In such cases, you should recognise that it may be necessary to share information with other agencies so that appropriate care and treatment can be provided to the client, or in exceptional circumstances where disclosure would be in the public interest, for instance where disclosure of the information is necessary to prevent harm coming to another individual.</w:t>
      </w:r>
      <w:r w:rsidRPr="005C6D13">
        <w:rPr>
          <w:rFonts w:ascii="Open Sans" w:hAnsi="Open Sans"/>
          <w:b/>
          <w:bCs/>
          <w:color w:val="auto"/>
        </w:rPr>
        <w:t xml:space="preserve"> </w:t>
      </w:r>
      <w:r w:rsidRPr="005C6D13">
        <w:rPr>
          <w:rFonts w:ascii="Open Sans" w:hAnsi="Open Sans"/>
          <w:b/>
          <w:bCs/>
          <w:color w:val="auto"/>
        </w:rPr>
        <w:cr/>
      </w:r>
    </w:p>
    <w:p w14:paraId="284469F1" w14:textId="77777777" w:rsidR="005C6D13" w:rsidRPr="005C6D13" w:rsidRDefault="005C6D13" w:rsidP="005C6D13">
      <w:pPr>
        <w:jc w:val="both"/>
        <w:rPr>
          <w:rFonts w:ascii="Open Sans" w:hAnsi="Open Sans"/>
          <w:b/>
          <w:bCs/>
          <w:color w:val="auto"/>
        </w:rPr>
      </w:pPr>
      <w:r w:rsidRPr="005C6D13">
        <w:rPr>
          <w:rFonts w:ascii="Open Sans" w:hAnsi="Open Sans"/>
          <w:b/>
          <w:bCs/>
          <w:color w:val="auto"/>
        </w:rPr>
        <w:t>Refusal of consent</w:t>
      </w:r>
    </w:p>
    <w:p w14:paraId="63A11259" w14:textId="77777777" w:rsidR="005C6D13" w:rsidRPr="005C6D13" w:rsidRDefault="005C6D13" w:rsidP="005C6D13">
      <w:pPr>
        <w:jc w:val="both"/>
        <w:rPr>
          <w:rFonts w:ascii="Open Sans" w:hAnsi="Open Sans"/>
          <w:color w:val="auto"/>
        </w:rPr>
      </w:pPr>
      <w:r w:rsidRPr="005C6D13">
        <w:rPr>
          <w:rFonts w:ascii="Open Sans" w:hAnsi="Open Sans"/>
          <w:color w:val="auto"/>
        </w:rPr>
        <w:t>Clients have the right to object to the information they provide in confidence being disclosed to a third party in a form that identifies them, even if the third party is someone who might provide essential healthcare. Where clients are competent to make such a choice and where the consequences of the choice have been fully explained, the decision should be respected. This is no different from a client exercising his or her right to refuse treatment. A number of issues to be considered if a client refuses to consent to information sharing are as follows:</w:t>
      </w:r>
    </w:p>
    <w:p w14:paraId="3549CB55" w14:textId="77777777" w:rsidR="005C6D13" w:rsidRPr="005C6D13" w:rsidRDefault="005C6D13" w:rsidP="005C6D13">
      <w:pPr>
        <w:numPr>
          <w:ilvl w:val="0"/>
          <w:numId w:val="40"/>
        </w:numPr>
        <w:contextualSpacing/>
        <w:jc w:val="both"/>
        <w:rPr>
          <w:rFonts w:ascii="Open Sans" w:hAnsi="Open Sans"/>
          <w:color w:val="auto"/>
        </w:rPr>
      </w:pPr>
      <w:r w:rsidRPr="005C6D13">
        <w:rPr>
          <w:rFonts w:ascii="Open Sans" w:hAnsi="Open Sans"/>
          <w:color w:val="auto"/>
        </w:rPr>
        <w:t>the concerns of the individual must be clearly established, and attempts should be made to find out whether there is a technical or procedural way of satisfying these concerns without unduly compromising care</w:t>
      </w:r>
    </w:p>
    <w:p w14:paraId="6B0A3E0A" w14:textId="77777777" w:rsidR="005C6D13" w:rsidRPr="005C6D13" w:rsidRDefault="005C6D13" w:rsidP="005C6D13">
      <w:pPr>
        <w:numPr>
          <w:ilvl w:val="0"/>
          <w:numId w:val="40"/>
        </w:numPr>
        <w:contextualSpacing/>
        <w:jc w:val="both"/>
        <w:rPr>
          <w:rFonts w:ascii="Open Sans" w:hAnsi="Open Sans"/>
          <w:color w:val="auto"/>
        </w:rPr>
      </w:pPr>
      <w:r w:rsidRPr="005C6D13">
        <w:rPr>
          <w:rFonts w:ascii="Open Sans" w:hAnsi="Open Sans"/>
          <w:color w:val="auto"/>
        </w:rPr>
        <w:t>the options for providing an alternative form of care or to provide care through alternative arrangements may need to be explored</w:t>
      </w:r>
    </w:p>
    <w:p w14:paraId="02FAEE63" w14:textId="77777777" w:rsidR="005C6D13" w:rsidRDefault="005C6D13" w:rsidP="005C6D13">
      <w:pPr>
        <w:numPr>
          <w:ilvl w:val="0"/>
          <w:numId w:val="40"/>
        </w:numPr>
        <w:contextualSpacing/>
        <w:jc w:val="both"/>
        <w:rPr>
          <w:rFonts w:ascii="Open Sans" w:hAnsi="Open Sans"/>
          <w:color w:val="auto"/>
        </w:rPr>
      </w:pPr>
      <w:r w:rsidRPr="005C6D13">
        <w:rPr>
          <w:rFonts w:ascii="Open Sans" w:hAnsi="Open Sans"/>
          <w:color w:val="auto"/>
        </w:rPr>
        <w:t>decisions about the options for alternative arrangements that might be offered to the client have to balance the risks, staff member time and other costs that may result against the risk to the individual of not providing assessment, care or treatment.</w:t>
      </w:r>
    </w:p>
    <w:p w14:paraId="4D087B47" w14:textId="77777777" w:rsidR="00FB0CAA" w:rsidRPr="005C6D13" w:rsidRDefault="00FB0CAA" w:rsidP="00FB0CAA">
      <w:pPr>
        <w:ind w:left="720"/>
        <w:contextualSpacing/>
        <w:jc w:val="both"/>
        <w:rPr>
          <w:rFonts w:ascii="Open Sans" w:hAnsi="Open Sans"/>
          <w:color w:val="auto"/>
        </w:rPr>
      </w:pPr>
    </w:p>
    <w:p w14:paraId="6F97FD0A" w14:textId="77777777" w:rsidR="005C6D13" w:rsidRPr="005C6D13" w:rsidRDefault="005C6D13" w:rsidP="005C6D13">
      <w:pPr>
        <w:jc w:val="both"/>
        <w:rPr>
          <w:rFonts w:ascii="Open Sans" w:hAnsi="Open Sans"/>
          <w:color w:val="auto"/>
        </w:rPr>
      </w:pPr>
      <w:r w:rsidRPr="005C6D13">
        <w:rPr>
          <w:rFonts w:ascii="Open Sans" w:hAnsi="Open Sans"/>
          <w:color w:val="auto"/>
        </w:rPr>
        <w:t>Careful documentation of the decision-making process and the choices made by the client must be documented in the client’s records.</w:t>
      </w:r>
    </w:p>
    <w:p w14:paraId="34D367DD" w14:textId="77777777" w:rsidR="004234D7" w:rsidRPr="002B681F" w:rsidRDefault="004234D7" w:rsidP="004234D7">
      <w:pPr>
        <w:rPr>
          <w:rFonts w:ascii="Open Sans" w:hAnsi="Open Sans" w:cs="Open Sans"/>
          <w:color w:val="auto"/>
        </w:rPr>
      </w:pPr>
    </w:p>
    <w:p w14:paraId="2D44642D" w14:textId="77777777" w:rsidR="00260C4F" w:rsidRPr="002B681F" w:rsidRDefault="005C6D13" w:rsidP="000269C5">
      <w:pPr>
        <w:pStyle w:val="Heading1"/>
      </w:pPr>
      <w:bookmarkStart w:id="12" w:name="_Toc147998794"/>
      <w:r>
        <w:t>Anonymisation/</w:t>
      </w:r>
      <w:r w:rsidR="00CA344C">
        <w:t>Pseudonymisation</w:t>
      </w:r>
      <w:bookmarkEnd w:id="12"/>
      <w:r w:rsidR="00CA344C">
        <w:t xml:space="preserve"> </w:t>
      </w:r>
    </w:p>
    <w:p w14:paraId="33C3D27D" w14:textId="77777777" w:rsidR="0015558D" w:rsidRPr="0015558D" w:rsidRDefault="0015558D" w:rsidP="0015558D">
      <w:pPr>
        <w:jc w:val="both"/>
        <w:rPr>
          <w:rFonts w:ascii="Open Sans" w:hAnsi="Open Sans"/>
          <w:color w:val="auto"/>
        </w:rPr>
      </w:pPr>
      <w:r w:rsidRPr="0015558D">
        <w:rPr>
          <w:rFonts w:ascii="Open Sans" w:hAnsi="Open Sans"/>
          <w:color w:val="auto"/>
        </w:rPr>
        <w:t xml:space="preserve">It is your responsibility to always consider making information anonymous, if possible, or allowing individuals to be distinguished in a data set by using a unique identifier, which does not reveal their ‘real world’ identity, in particular when information is being used for a purpose other than direct client care. This includes information such as name, address, </w:t>
      </w:r>
      <w:r w:rsidRPr="0015558D">
        <w:rPr>
          <w:rFonts w:ascii="Open Sans" w:hAnsi="Open Sans"/>
          <w:color w:val="auto"/>
        </w:rPr>
        <w:lastRenderedPageBreak/>
        <w:t xml:space="preserve">full postcode, date of birth and any other detail that might identify a client being removed; the data about a client being unidentifiable by the recipient of the information and the theoretical probability of the client’s identity being discovered being extremely small. Always consider anonymisation of data where possible. If data is anonymised, it is good practice to inform the client, but consent is not needed. </w:t>
      </w:r>
    </w:p>
    <w:p w14:paraId="7A6ECB77" w14:textId="77777777" w:rsidR="0015558D" w:rsidRDefault="0015558D" w:rsidP="0015558D">
      <w:pPr>
        <w:jc w:val="both"/>
        <w:rPr>
          <w:rFonts w:ascii="Open Sans" w:hAnsi="Open Sans"/>
          <w:color w:val="auto"/>
        </w:rPr>
      </w:pPr>
      <w:r w:rsidRPr="0015558D">
        <w:rPr>
          <w:rFonts w:ascii="Open Sans" w:hAnsi="Open Sans"/>
          <w:color w:val="auto"/>
        </w:rPr>
        <w:t>Pseudonymisation may involve replacing names or other identifiers that are easily attributed to individuals with, for example, a reference number. Whilst you can tie that reference number back to the individual if you have access to the relevant information, you put technical and organisational measures in place to ensure that this additional information is held separately. Pseudonymising personal data can reduce the risks to the data subjects and help you meet your data protection obligations.</w:t>
      </w:r>
    </w:p>
    <w:p w14:paraId="2BEA472F" w14:textId="77777777" w:rsidR="007E79E1" w:rsidRPr="0015558D" w:rsidRDefault="007E79E1" w:rsidP="0015558D">
      <w:pPr>
        <w:jc w:val="both"/>
        <w:rPr>
          <w:rFonts w:ascii="Open Sans" w:hAnsi="Open Sans"/>
          <w:color w:val="auto"/>
        </w:rPr>
      </w:pPr>
    </w:p>
    <w:p w14:paraId="07808E11" w14:textId="3B971D56" w:rsidR="002B2499" w:rsidRPr="002B681F" w:rsidRDefault="0015558D" w:rsidP="000269C5">
      <w:pPr>
        <w:pStyle w:val="Heading1"/>
      </w:pPr>
      <w:bookmarkStart w:id="13" w:name="_Toc147998795"/>
      <w:r>
        <w:t xml:space="preserve">Client’s Rights of Access to their </w:t>
      </w:r>
      <w:r w:rsidR="00F34076">
        <w:t>O</w:t>
      </w:r>
      <w:r>
        <w:t xml:space="preserve">wn </w:t>
      </w:r>
      <w:r w:rsidR="00F34076">
        <w:t>R</w:t>
      </w:r>
      <w:r>
        <w:t>ecords</w:t>
      </w:r>
      <w:bookmarkEnd w:id="13"/>
    </w:p>
    <w:p w14:paraId="69D6E323" w14:textId="77777777" w:rsidR="00EC46C3" w:rsidRPr="00EC46C3" w:rsidRDefault="00EC46C3" w:rsidP="00EC46C3">
      <w:pPr>
        <w:jc w:val="both"/>
        <w:rPr>
          <w:rFonts w:ascii="Open Sans" w:hAnsi="Open Sans"/>
          <w:color w:val="auto"/>
        </w:rPr>
      </w:pPr>
      <w:r w:rsidRPr="00EC46C3">
        <w:rPr>
          <w:rFonts w:ascii="Open Sans" w:hAnsi="Open Sans"/>
          <w:color w:val="auto"/>
        </w:rPr>
        <w:t>Clients (or their parents or legally appointed representative), subject to certain safeguards, have a right to access their own health records. You must comply with the requirements of the Data Protection Act 2018 in terms of requests to access personal identifiable information and should respect and help clients to exercise their legal rights to have access to, or copies of, their health records.</w:t>
      </w:r>
    </w:p>
    <w:p w14:paraId="73D4A20F" w14:textId="77777777" w:rsidR="00EC46C3" w:rsidRPr="00EC46C3" w:rsidRDefault="00EC46C3" w:rsidP="00EC46C3">
      <w:pPr>
        <w:jc w:val="both"/>
        <w:rPr>
          <w:rFonts w:ascii="Open Sans" w:hAnsi="Open Sans"/>
          <w:color w:val="auto"/>
        </w:rPr>
      </w:pPr>
      <w:r w:rsidRPr="00EC46C3">
        <w:rPr>
          <w:rFonts w:ascii="Open Sans" w:hAnsi="Open Sans"/>
          <w:color w:val="auto"/>
        </w:rPr>
        <w:t>If an access request means disclosing information from or about a third party (someone other than the client or staff member involved in their care), the request may be refused unless third party information can be temporarily removed, the third-party consents to disclosure or ‘it is reasonable in all the circumstances’ to comply with the request without the consent of the individual.</w:t>
      </w:r>
    </w:p>
    <w:p w14:paraId="3F5A0C51" w14:textId="77777777" w:rsidR="00EC46C3" w:rsidRDefault="00EC46C3" w:rsidP="00EC46C3">
      <w:pPr>
        <w:jc w:val="both"/>
        <w:rPr>
          <w:rFonts w:ascii="Open Sans" w:hAnsi="Open Sans"/>
          <w:color w:val="auto"/>
        </w:rPr>
      </w:pPr>
      <w:r w:rsidRPr="00EC46C3">
        <w:rPr>
          <w:rFonts w:ascii="Open Sans" w:hAnsi="Open Sans"/>
          <w:color w:val="auto"/>
        </w:rPr>
        <w:t xml:space="preserve">Information needs to be provided within one month of a request so staff members must action requests promptly. The information should be provided free of charge. Further information can be found relating to Subject Access Requests in the Information Governance Policy and Procedure.  </w:t>
      </w:r>
    </w:p>
    <w:p w14:paraId="7C97446E" w14:textId="77777777" w:rsidR="00E90488" w:rsidRDefault="00E90488" w:rsidP="00EC46C3">
      <w:pPr>
        <w:jc w:val="both"/>
        <w:rPr>
          <w:rFonts w:ascii="Open Sans" w:hAnsi="Open Sans"/>
          <w:color w:val="auto"/>
        </w:rPr>
      </w:pPr>
    </w:p>
    <w:p w14:paraId="52293B54" w14:textId="43A9363C" w:rsidR="00E90488" w:rsidRDefault="00E90488" w:rsidP="00E90488">
      <w:pPr>
        <w:pStyle w:val="Heading1"/>
      </w:pPr>
      <w:bookmarkStart w:id="14" w:name="_Toc147998796"/>
      <w:r>
        <w:t xml:space="preserve">Third </w:t>
      </w:r>
      <w:r w:rsidR="00CF6CD2">
        <w:t>P</w:t>
      </w:r>
      <w:r>
        <w:t xml:space="preserve">arty </w:t>
      </w:r>
      <w:r w:rsidR="00CF6CD2">
        <w:t>A</w:t>
      </w:r>
      <w:r>
        <w:t xml:space="preserve">ccess to </w:t>
      </w:r>
      <w:r w:rsidR="00CF6CD2">
        <w:t>C</w:t>
      </w:r>
      <w:r>
        <w:t xml:space="preserve">lient’s </w:t>
      </w:r>
      <w:r w:rsidR="00CF6CD2">
        <w:t>R</w:t>
      </w:r>
      <w:r>
        <w:t xml:space="preserve">ecords </w:t>
      </w:r>
      <w:r w:rsidR="00CF6CD2">
        <w:t>F</w:t>
      </w:r>
      <w:r>
        <w:t>ollowing Client’s Death</w:t>
      </w:r>
      <w:bookmarkEnd w:id="14"/>
    </w:p>
    <w:p w14:paraId="12D5D9AA" w14:textId="77777777" w:rsidR="0007246C" w:rsidRPr="0007246C" w:rsidRDefault="0007246C" w:rsidP="0007246C">
      <w:pPr>
        <w:pStyle w:val="NormalWeb"/>
        <w:shd w:val="clear" w:color="auto" w:fill="FFFFFF"/>
        <w:spacing w:before="0" w:beforeAutospacing="0" w:after="360" w:afterAutospacing="0"/>
        <w:jc w:val="both"/>
        <w:textAlignment w:val="baseline"/>
        <w:rPr>
          <w:rFonts w:ascii="Open Sans" w:hAnsi="Open Sans"/>
          <w:sz w:val="22"/>
          <w:szCs w:val="22"/>
        </w:rPr>
      </w:pPr>
      <w:r w:rsidRPr="0007246C">
        <w:rPr>
          <w:rFonts w:ascii="Open Sans" w:hAnsi="Open Sans"/>
          <w:sz w:val="22"/>
          <w:szCs w:val="22"/>
        </w:rPr>
        <w:t xml:space="preserve">The duty of confidentiality continues after death and as such they cannot be released to a third party without additional checks being made.  Under the Access to Health Records Act 1990, the personal representative of the deceased and people who may have a claim arising from the client’s death are permitted access to the records. This applies to </w:t>
      </w:r>
      <w:r w:rsidRPr="0007246C">
        <w:rPr>
          <w:rFonts w:ascii="Open Sans" w:hAnsi="Open Sans"/>
          <w:sz w:val="22"/>
          <w:szCs w:val="22"/>
        </w:rPr>
        <w:lastRenderedPageBreak/>
        <w:t>information provided after November 1991 and disclosure should be limited to that which is relevant to the claim in question.</w:t>
      </w:r>
    </w:p>
    <w:p w14:paraId="310C018F" w14:textId="77777777" w:rsidR="0007246C" w:rsidRPr="0007246C" w:rsidRDefault="0007246C" w:rsidP="0007246C">
      <w:pPr>
        <w:shd w:val="clear" w:color="auto" w:fill="FFFFFF"/>
        <w:spacing w:after="360" w:line="240" w:lineRule="auto"/>
        <w:jc w:val="both"/>
        <w:textAlignment w:val="baseline"/>
        <w:rPr>
          <w:rFonts w:ascii="Open Sans" w:eastAsia="Times New Roman" w:hAnsi="Open Sans" w:cs="Times New Roman"/>
          <w:color w:val="auto"/>
          <w:lang w:eastAsia="en-GB"/>
        </w:rPr>
      </w:pPr>
      <w:r w:rsidRPr="0007246C">
        <w:rPr>
          <w:rFonts w:ascii="Open Sans" w:eastAsia="Times New Roman" w:hAnsi="Open Sans" w:cs="Times New Roman"/>
          <w:color w:val="auto"/>
          <w:lang w:eastAsia="en-GB"/>
        </w:rPr>
        <w:t>The records should not be disclosed if it is thought that they may cause mental or physical harm to anyone, if they identify a third party or if the deceased gave the information on the understanding that it would remain private.</w:t>
      </w:r>
    </w:p>
    <w:p w14:paraId="34A4AAA2" w14:textId="77777777" w:rsidR="0007246C" w:rsidRDefault="0007246C" w:rsidP="0007246C">
      <w:pPr>
        <w:shd w:val="clear" w:color="auto" w:fill="FFFFFF"/>
        <w:spacing w:after="360" w:line="240" w:lineRule="auto"/>
        <w:jc w:val="both"/>
        <w:textAlignment w:val="baseline"/>
        <w:rPr>
          <w:rFonts w:ascii="Open Sans" w:eastAsia="Times New Roman" w:hAnsi="Open Sans" w:cs="Times New Roman"/>
          <w:color w:val="auto"/>
          <w:lang w:eastAsia="en-GB"/>
        </w:rPr>
      </w:pPr>
      <w:r w:rsidRPr="0007246C">
        <w:rPr>
          <w:rFonts w:ascii="Open Sans" w:eastAsia="Times New Roman" w:hAnsi="Open Sans" w:cs="Times New Roman"/>
          <w:color w:val="auto"/>
          <w:lang w:eastAsia="en-GB"/>
        </w:rPr>
        <w:t xml:space="preserve">It is therefore essential that the requestor provides evidence that a grant of probate or letters of administration has been granted to them, or evidence that they may have a claim arising from the death, along with identification. Additionally, it is essential that a check of the health record is carried out and appropriately redacted before being released. </w:t>
      </w:r>
    </w:p>
    <w:p w14:paraId="5BA9CD1C" w14:textId="77777777" w:rsidR="008F7E34" w:rsidRPr="0007246C" w:rsidRDefault="008F7E34" w:rsidP="008F7E34">
      <w:pPr>
        <w:shd w:val="clear" w:color="auto" w:fill="FFFFFF"/>
        <w:spacing w:after="360" w:line="240" w:lineRule="auto"/>
        <w:jc w:val="both"/>
        <w:textAlignment w:val="baseline"/>
        <w:rPr>
          <w:rFonts w:ascii="Open Sans" w:eastAsia="Times New Roman" w:hAnsi="Open Sans" w:cs="Times New Roman"/>
          <w:color w:val="auto"/>
          <w:lang w:eastAsia="en-GB"/>
        </w:rPr>
      </w:pPr>
      <w:bookmarkStart w:id="15" w:name="_Hlk125986854"/>
      <w:r>
        <w:rPr>
          <w:rFonts w:ascii="Open Sans" w:eastAsia="Times New Roman" w:hAnsi="Open Sans" w:cs="Times New Roman"/>
          <w:color w:val="auto"/>
          <w:lang w:eastAsia="en-GB"/>
        </w:rPr>
        <w:t xml:space="preserve">Coroners, medical examiners and the Care Quality Commission also have a legal right to request access to the records of deceased clients. </w:t>
      </w:r>
    </w:p>
    <w:bookmarkEnd w:id="15"/>
    <w:p w14:paraId="4AA50EF8" w14:textId="77777777" w:rsidR="007E79E1" w:rsidRPr="0007246C" w:rsidRDefault="007E79E1" w:rsidP="0007246C">
      <w:pPr>
        <w:shd w:val="clear" w:color="auto" w:fill="FFFFFF"/>
        <w:spacing w:after="360" w:line="240" w:lineRule="auto"/>
        <w:jc w:val="both"/>
        <w:textAlignment w:val="baseline"/>
        <w:rPr>
          <w:rFonts w:ascii="Open Sans" w:eastAsia="Times New Roman" w:hAnsi="Open Sans" w:cs="Times New Roman"/>
          <w:color w:val="auto"/>
          <w:lang w:eastAsia="en-GB"/>
        </w:rPr>
      </w:pPr>
    </w:p>
    <w:p w14:paraId="2C32E0F8" w14:textId="77777777" w:rsidR="001622B9" w:rsidRDefault="0007246C" w:rsidP="0007246C">
      <w:pPr>
        <w:pStyle w:val="Heading1"/>
      </w:pPr>
      <w:bookmarkStart w:id="16" w:name="_Toc147998797"/>
      <w:r>
        <w:t>Training Requirements</w:t>
      </w:r>
      <w:bookmarkEnd w:id="16"/>
    </w:p>
    <w:p w14:paraId="36ED54F3" w14:textId="77777777" w:rsidR="00CA5003" w:rsidRPr="00CA5003" w:rsidRDefault="00CA5003" w:rsidP="00CA5003">
      <w:pPr>
        <w:jc w:val="both"/>
        <w:rPr>
          <w:rFonts w:ascii="Open Sans" w:hAnsi="Open Sans"/>
          <w:color w:val="auto"/>
        </w:rPr>
      </w:pPr>
      <w:r w:rsidRPr="00CA5003">
        <w:rPr>
          <w:rFonts w:ascii="Open Sans" w:hAnsi="Open Sans"/>
          <w:color w:val="auto"/>
        </w:rPr>
        <w:t>All staff members are required to complete annual mandatory Information Governance Training. Training on confidentiality is provided regularly to staff members via induction training, mandatory refresher training and specific training opportunities developed to meet particular needs identified from training needs assessments and response to incidents.</w:t>
      </w:r>
    </w:p>
    <w:p w14:paraId="49E0B35C" w14:textId="77777777" w:rsidR="00CA5003" w:rsidRPr="00CA5003" w:rsidRDefault="00CA5003" w:rsidP="00CA5003">
      <w:pPr>
        <w:jc w:val="both"/>
        <w:rPr>
          <w:rFonts w:ascii="Open Sans" w:hAnsi="Open Sans"/>
          <w:color w:val="auto"/>
        </w:rPr>
      </w:pPr>
      <w:r w:rsidRPr="00CA5003">
        <w:rPr>
          <w:rFonts w:ascii="Open Sans" w:hAnsi="Open Sans"/>
          <w:color w:val="auto"/>
        </w:rPr>
        <w:t xml:space="preserve">All staff members must be aware where to seek support, further information and training, and be able to demonstrate that they are making every reasonable effort to comply with the relevant standards. Failure to comply will result disciplinary action.  </w:t>
      </w:r>
    </w:p>
    <w:p w14:paraId="4C4DBC65" w14:textId="3C934D0F" w:rsidR="00CA5003" w:rsidRDefault="00CA5003" w:rsidP="00CA5003">
      <w:pPr>
        <w:jc w:val="both"/>
        <w:rPr>
          <w:rFonts w:ascii="Open Sans" w:hAnsi="Open Sans"/>
        </w:rPr>
      </w:pPr>
      <w:r w:rsidRPr="00CA5003">
        <w:rPr>
          <w:rFonts w:ascii="Open Sans" w:hAnsi="Open Sans"/>
          <w:color w:val="auto"/>
        </w:rPr>
        <w:t xml:space="preserve">Personal information about clients should not be disclosed unless it is necessary. </w:t>
      </w:r>
    </w:p>
    <w:p w14:paraId="5D413EB7" w14:textId="77777777" w:rsidR="0007246C" w:rsidRPr="0007246C" w:rsidRDefault="0007246C" w:rsidP="0007246C"/>
    <w:p w14:paraId="2B0FCC05" w14:textId="77777777" w:rsidR="002B2499" w:rsidRPr="002B681F" w:rsidRDefault="001622B9" w:rsidP="000269C5">
      <w:pPr>
        <w:pStyle w:val="Heading1"/>
      </w:pPr>
      <w:bookmarkStart w:id="17" w:name="_Toc147998798"/>
      <w:r w:rsidRPr="002B681F">
        <w:t>Monitoring</w:t>
      </w:r>
      <w:bookmarkEnd w:id="17"/>
    </w:p>
    <w:p w14:paraId="1812B7FB" w14:textId="77777777" w:rsidR="00333E42" w:rsidRPr="00333E42" w:rsidRDefault="00333E42" w:rsidP="00333E42">
      <w:pPr>
        <w:jc w:val="both"/>
        <w:rPr>
          <w:rFonts w:ascii="Open Sans" w:hAnsi="Open Sans"/>
          <w:color w:val="auto"/>
        </w:rPr>
      </w:pPr>
      <w:r w:rsidRPr="00333E42">
        <w:rPr>
          <w:rFonts w:ascii="Open Sans" w:hAnsi="Open Sans"/>
          <w:color w:val="auto"/>
        </w:rPr>
        <w:t>The effectiveness of this policy will be monitored through routine audit and investigation into any data breaches or breaches in the policies procedures.</w:t>
      </w:r>
    </w:p>
    <w:p w14:paraId="2128DBB2" w14:textId="77777777" w:rsidR="001622B9" w:rsidRPr="002B681F" w:rsidRDefault="001622B9" w:rsidP="001622B9">
      <w:pPr>
        <w:rPr>
          <w:rFonts w:ascii="Open Sans" w:hAnsi="Open Sans" w:cs="Open Sans"/>
          <w:color w:val="auto"/>
        </w:rPr>
      </w:pPr>
    </w:p>
    <w:p w14:paraId="37810864" w14:textId="77777777" w:rsidR="002B2499" w:rsidRPr="002B681F" w:rsidRDefault="00B524DF" w:rsidP="000269C5">
      <w:pPr>
        <w:pStyle w:val="Heading1"/>
      </w:pPr>
      <w:bookmarkStart w:id="18" w:name="_Toc147998799"/>
      <w:r w:rsidRPr="002B681F">
        <w:lastRenderedPageBreak/>
        <w:t>Related Policies</w:t>
      </w:r>
      <w:bookmarkEnd w:id="18"/>
    </w:p>
    <w:p w14:paraId="6C2BBE2A" w14:textId="76008B2F"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Consent </w:t>
      </w:r>
      <w:r w:rsidR="007E79E1">
        <w:rPr>
          <w:rFonts w:ascii="Open Sans" w:hAnsi="Open Sans"/>
          <w:color w:val="auto"/>
        </w:rPr>
        <w:t>(</w:t>
      </w:r>
      <w:r w:rsidRPr="005D0260">
        <w:rPr>
          <w:rFonts w:ascii="Open Sans" w:hAnsi="Open Sans"/>
          <w:color w:val="auto"/>
        </w:rPr>
        <w:t>Adults</w:t>
      </w:r>
      <w:r w:rsidR="007E79E1">
        <w:rPr>
          <w:rFonts w:ascii="Open Sans" w:hAnsi="Open Sans"/>
          <w:color w:val="auto"/>
        </w:rPr>
        <w:t>)</w:t>
      </w:r>
      <w:r w:rsidRPr="005D0260">
        <w:rPr>
          <w:rFonts w:ascii="Open Sans" w:hAnsi="Open Sans"/>
          <w:color w:val="auto"/>
        </w:rPr>
        <w:t xml:space="preserve"> Policy </w:t>
      </w:r>
    </w:p>
    <w:p w14:paraId="652B494A" w14:textId="1BB65DF3"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Consent </w:t>
      </w:r>
      <w:r w:rsidR="007E79E1">
        <w:rPr>
          <w:rFonts w:ascii="Open Sans" w:hAnsi="Open Sans"/>
          <w:color w:val="auto"/>
        </w:rPr>
        <w:t>(</w:t>
      </w:r>
      <w:r w:rsidRPr="005D0260">
        <w:rPr>
          <w:rFonts w:ascii="Open Sans" w:hAnsi="Open Sans"/>
          <w:color w:val="auto"/>
        </w:rPr>
        <w:t>Children</w:t>
      </w:r>
      <w:r w:rsidR="007E79E1">
        <w:rPr>
          <w:rFonts w:ascii="Open Sans" w:hAnsi="Open Sans"/>
          <w:color w:val="auto"/>
        </w:rPr>
        <w:t>)</w:t>
      </w:r>
      <w:r w:rsidRPr="005D0260">
        <w:rPr>
          <w:rFonts w:ascii="Open Sans" w:hAnsi="Open Sans"/>
          <w:color w:val="auto"/>
        </w:rPr>
        <w:t xml:space="preserve"> Policy </w:t>
      </w:r>
    </w:p>
    <w:p w14:paraId="48A79BC9" w14:textId="77777777"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Disciplinary Policy and </w:t>
      </w:r>
    </w:p>
    <w:p w14:paraId="61104A2E" w14:textId="77777777"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Incident Management Policy </w:t>
      </w:r>
    </w:p>
    <w:p w14:paraId="48FAB096" w14:textId="77777777"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Information Governance Policy </w:t>
      </w:r>
    </w:p>
    <w:p w14:paraId="54553738" w14:textId="77777777" w:rsidR="008131AF" w:rsidRPr="005D0260" w:rsidRDefault="008131AF" w:rsidP="005D0260">
      <w:pPr>
        <w:pStyle w:val="ListParagraph"/>
        <w:numPr>
          <w:ilvl w:val="0"/>
          <w:numId w:val="41"/>
        </w:numPr>
        <w:rPr>
          <w:rFonts w:ascii="Open Sans" w:hAnsi="Open Sans"/>
          <w:color w:val="auto"/>
        </w:rPr>
      </w:pPr>
      <w:r w:rsidRPr="005D0260">
        <w:rPr>
          <w:rFonts w:ascii="Open Sans" w:hAnsi="Open Sans"/>
          <w:color w:val="auto"/>
        </w:rPr>
        <w:t xml:space="preserve">Safeguarding Policy </w:t>
      </w:r>
    </w:p>
    <w:p w14:paraId="261E25C7" w14:textId="77777777" w:rsidR="00280AAE" w:rsidRPr="002B681F" w:rsidRDefault="00280AAE" w:rsidP="00B524DF">
      <w:pPr>
        <w:rPr>
          <w:rFonts w:ascii="Open Sans" w:hAnsi="Open Sans" w:cs="Open Sans"/>
          <w:color w:val="auto"/>
        </w:rPr>
      </w:pPr>
    </w:p>
    <w:p w14:paraId="6D9C1184" w14:textId="77777777" w:rsidR="002B2499" w:rsidRPr="002B681F" w:rsidRDefault="00F17033" w:rsidP="000269C5">
      <w:pPr>
        <w:pStyle w:val="Heading1"/>
      </w:pPr>
      <w:bookmarkStart w:id="19" w:name="_Toc147998800"/>
      <w:r w:rsidRPr="002B681F">
        <w:t>Legislation and Guidance</w:t>
      </w:r>
      <w:bookmarkEnd w:id="19"/>
    </w:p>
    <w:p w14:paraId="1758E712" w14:textId="77777777" w:rsidR="00123DB1" w:rsidRPr="00123DB1" w:rsidRDefault="00123DB1" w:rsidP="00123DB1">
      <w:pPr>
        <w:rPr>
          <w:rFonts w:ascii="Open Sans" w:hAnsi="Open Sans"/>
          <w:b/>
          <w:bCs/>
          <w:color w:val="auto"/>
        </w:rPr>
      </w:pPr>
      <w:r>
        <w:rPr>
          <w:rFonts w:ascii="Open Sans" w:hAnsi="Open Sans"/>
          <w:b/>
          <w:bCs/>
          <w:color w:val="auto"/>
        </w:rPr>
        <w:t>Relevant Guidance</w:t>
      </w:r>
    </w:p>
    <w:p w14:paraId="48A56997" w14:textId="77777777" w:rsidR="00123DB1" w:rsidRPr="00123DB1" w:rsidRDefault="00123DB1" w:rsidP="00123DB1">
      <w:pPr>
        <w:pStyle w:val="ListParagraph"/>
        <w:numPr>
          <w:ilvl w:val="0"/>
          <w:numId w:val="42"/>
        </w:numPr>
        <w:rPr>
          <w:rFonts w:ascii="Open Sans" w:hAnsi="Open Sans"/>
          <w:color w:val="auto"/>
        </w:rPr>
      </w:pPr>
      <w:r w:rsidRPr="00123DB1">
        <w:rPr>
          <w:rFonts w:ascii="Open Sans" w:hAnsi="Open Sans"/>
          <w:color w:val="auto"/>
        </w:rPr>
        <w:t>Data Protection Act 2018</w:t>
      </w:r>
    </w:p>
    <w:p w14:paraId="0CD0ADB6" w14:textId="77777777" w:rsidR="00123DB1" w:rsidRPr="00123DB1" w:rsidRDefault="00123DB1" w:rsidP="00123DB1">
      <w:pPr>
        <w:pStyle w:val="ListParagraph"/>
        <w:numPr>
          <w:ilvl w:val="0"/>
          <w:numId w:val="42"/>
        </w:numPr>
        <w:rPr>
          <w:rFonts w:ascii="Open Sans" w:hAnsi="Open Sans"/>
          <w:color w:val="auto"/>
        </w:rPr>
      </w:pPr>
      <w:r w:rsidRPr="00123DB1">
        <w:rPr>
          <w:rFonts w:ascii="Open Sans" w:hAnsi="Open Sans"/>
          <w:color w:val="auto"/>
        </w:rPr>
        <w:t>Freedom of Information Act 2000</w:t>
      </w:r>
    </w:p>
    <w:p w14:paraId="3CA4C927" w14:textId="77777777" w:rsidR="00123DB1" w:rsidRPr="00123DB1" w:rsidRDefault="00123DB1" w:rsidP="00123DB1">
      <w:pPr>
        <w:pStyle w:val="ListParagraph"/>
        <w:numPr>
          <w:ilvl w:val="0"/>
          <w:numId w:val="42"/>
        </w:numPr>
        <w:rPr>
          <w:rFonts w:ascii="Open Sans" w:hAnsi="Open Sans"/>
          <w:color w:val="auto"/>
        </w:rPr>
      </w:pPr>
      <w:r w:rsidRPr="00123DB1">
        <w:rPr>
          <w:rFonts w:ascii="Open Sans" w:hAnsi="Open Sans"/>
          <w:color w:val="auto"/>
        </w:rPr>
        <w:t>Health and Social Care Act 2008</w:t>
      </w:r>
    </w:p>
    <w:p w14:paraId="18C5B330" w14:textId="77777777" w:rsidR="00123DB1" w:rsidRPr="00123DB1" w:rsidRDefault="00123DB1" w:rsidP="00123DB1">
      <w:pPr>
        <w:pStyle w:val="ListParagraph"/>
        <w:numPr>
          <w:ilvl w:val="0"/>
          <w:numId w:val="42"/>
        </w:numPr>
        <w:rPr>
          <w:rFonts w:ascii="Open Sans" w:hAnsi="Open Sans"/>
          <w:color w:val="auto"/>
        </w:rPr>
      </w:pPr>
      <w:r w:rsidRPr="00123DB1">
        <w:rPr>
          <w:rFonts w:ascii="Open Sans" w:hAnsi="Open Sans"/>
          <w:color w:val="auto"/>
        </w:rPr>
        <w:t>Human Rights Act 1998</w:t>
      </w:r>
    </w:p>
    <w:p w14:paraId="7377FFFE" w14:textId="77777777" w:rsidR="00123DB1" w:rsidRPr="00123DB1" w:rsidRDefault="00123DB1" w:rsidP="00123DB1">
      <w:pPr>
        <w:pStyle w:val="ListParagraph"/>
        <w:numPr>
          <w:ilvl w:val="0"/>
          <w:numId w:val="42"/>
        </w:numPr>
        <w:rPr>
          <w:rFonts w:ascii="Open Sans" w:hAnsi="Open Sans"/>
          <w:color w:val="auto"/>
        </w:rPr>
      </w:pPr>
      <w:r w:rsidRPr="00123DB1">
        <w:rPr>
          <w:rFonts w:ascii="Open Sans" w:hAnsi="Open Sans"/>
          <w:color w:val="auto"/>
        </w:rPr>
        <w:t>The Mental Capacity Act 2005</w:t>
      </w:r>
    </w:p>
    <w:p w14:paraId="0F756474" w14:textId="77777777" w:rsidR="00123DB1" w:rsidRPr="00123DB1" w:rsidRDefault="00123DB1" w:rsidP="00B87436">
      <w:pPr>
        <w:rPr>
          <w:rFonts w:ascii="Open Sans" w:hAnsi="Open Sans"/>
          <w:b/>
          <w:bCs/>
          <w:color w:val="auto"/>
        </w:rPr>
      </w:pPr>
      <w:r>
        <w:rPr>
          <w:rFonts w:ascii="Open Sans" w:hAnsi="Open Sans"/>
          <w:b/>
          <w:bCs/>
          <w:color w:val="auto"/>
        </w:rPr>
        <w:t>Guidance</w:t>
      </w:r>
    </w:p>
    <w:p w14:paraId="54555968" w14:textId="77777777" w:rsidR="00B87436" w:rsidRPr="00123DB1" w:rsidRDefault="00B87436" w:rsidP="00123DB1">
      <w:pPr>
        <w:pStyle w:val="ListParagraph"/>
        <w:numPr>
          <w:ilvl w:val="0"/>
          <w:numId w:val="43"/>
        </w:numPr>
        <w:rPr>
          <w:rFonts w:ascii="Open Sans" w:hAnsi="Open Sans" w:cs="Open Sans"/>
        </w:rPr>
      </w:pPr>
      <w:r w:rsidRPr="00123DB1">
        <w:rPr>
          <w:rFonts w:ascii="Open Sans" w:hAnsi="Open Sans" w:cs="Open Sans"/>
          <w:color w:val="auto"/>
        </w:rPr>
        <w:t xml:space="preserve">Guidance about the appointment of Caldicott Guardians, their role and responsibilities published by the National Data Guardian for Health and Social Care </w:t>
      </w:r>
      <w:hyperlink r:id="rId13" w:history="1">
        <w:r w:rsidRPr="00123DB1">
          <w:rPr>
            <w:rStyle w:val="Hyperlink"/>
            <w:rFonts w:ascii="Open Sans" w:hAnsi="Open Sans" w:cs="Open Sans"/>
          </w:rPr>
          <w:t>Caldicott_Guardian_guidance_v1.0_27.08.21.pdf (publishing.service.gov.uk)</w:t>
        </w:r>
      </w:hyperlink>
    </w:p>
    <w:p w14:paraId="6953DFF8" w14:textId="77777777" w:rsidR="00B87436" w:rsidRPr="00123DB1" w:rsidRDefault="00B87436" w:rsidP="00123DB1">
      <w:pPr>
        <w:pStyle w:val="ListParagraph"/>
        <w:numPr>
          <w:ilvl w:val="0"/>
          <w:numId w:val="43"/>
        </w:numPr>
        <w:rPr>
          <w:rFonts w:ascii="Open Sans" w:hAnsi="Open Sans"/>
          <w:sz w:val="28"/>
          <w:szCs w:val="28"/>
        </w:rPr>
      </w:pPr>
      <w:r w:rsidRPr="00123DB1">
        <w:rPr>
          <w:rFonts w:ascii="Open Sans" w:hAnsi="Open Sans"/>
          <w:color w:val="auto"/>
        </w:rPr>
        <w:t xml:space="preserve">National Data Guardian Eight Caldicott Principles, </w:t>
      </w:r>
      <w:hyperlink r:id="rId14" w:history="1">
        <w:r w:rsidRPr="00123DB1">
          <w:rPr>
            <w:rStyle w:val="Hyperlink"/>
            <w:rFonts w:ascii="Open Sans" w:hAnsi="Open Sans"/>
          </w:rPr>
          <w:t>Eight_Caldicott_Principles_08.12.20.pdf (publishing.service.gov.uk)</w:t>
        </w:r>
      </w:hyperlink>
    </w:p>
    <w:p w14:paraId="51C40A3B" w14:textId="77777777" w:rsidR="00B87436" w:rsidRPr="00123DB1" w:rsidRDefault="00B87436" w:rsidP="00123DB1">
      <w:pPr>
        <w:pStyle w:val="ListParagraph"/>
        <w:numPr>
          <w:ilvl w:val="0"/>
          <w:numId w:val="43"/>
        </w:numPr>
        <w:rPr>
          <w:rFonts w:ascii="Open Sans" w:hAnsi="Open Sans"/>
        </w:rPr>
      </w:pPr>
      <w:r w:rsidRPr="00123DB1">
        <w:rPr>
          <w:rFonts w:ascii="Open Sans" w:hAnsi="Open Sans"/>
          <w:color w:val="auto"/>
        </w:rPr>
        <w:t xml:space="preserve">Guidance tool to decide confidentiality decision – </w:t>
      </w:r>
      <w:hyperlink r:id="rId15" w:history="1">
        <w:r w:rsidRPr="00123DB1">
          <w:rPr>
            <w:rStyle w:val="Hyperlink"/>
            <w:rFonts w:ascii="Open Sans" w:hAnsi="Open Sans"/>
          </w:rPr>
          <w:t>https://www.gmc-uk.org/ethical-guidance/learning-materials/confidentiality-decision-tool</w:t>
        </w:r>
      </w:hyperlink>
    </w:p>
    <w:p w14:paraId="68C94ACE" w14:textId="77777777" w:rsidR="00B87436" w:rsidRPr="00123DB1" w:rsidRDefault="00B87436" w:rsidP="00123DB1">
      <w:pPr>
        <w:pStyle w:val="ListParagraph"/>
        <w:numPr>
          <w:ilvl w:val="0"/>
          <w:numId w:val="43"/>
        </w:numPr>
        <w:rPr>
          <w:rStyle w:val="Hyperlink"/>
          <w:rFonts w:ascii="Open Sans" w:hAnsi="Open Sans"/>
        </w:rPr>
      </w:pPr>
      <w:r w:rsidRPr="00123DB1">
        <w:rPr>
          <w:rFonts w:ascii="Open Sans" w:hAnsi="Open Sans"/>
          <w:color w:val="auto"/>
        </w:rPr>
        <w:t xml:space="preserve">ICO Anonymisation: Managing data protection risk code of practice </w:t>
      </w:r>
      <w:hyperlink r:id="rId16" w:history="1">
        <w:r w:rsidRPr="00123DB1">
          <w:rPr>
            <w:rStyle w:val="Hyperlink"/>
            <w:rFonts w:ascii="Open Sans" w:hAnsi="Open Sans"/>
          </w:rPr>
          <w:t>https://ico.org.uk/media/1061/anonymisation-code.pdf</w:t>
        </w:r>
      </w:hyperlink>
    </w:p>
    <w:p w14:paraId="0D47A4B8" w14:textId="77777777" w:rsidR="00B87436" w:rsidRPr="00123DB1" w:rsidRDefault="00B87436" w:rsidP="00123DB1">
      <w:pPr>
        <w:pStyle w:val="ListParagraph"/>
        <w:numPr>
          <w:ilvl w:val="0"/>
          <w:numId w:val="43"/>
        </w:numPr>
        <w:rPr>
          <w:rFonts w:ascii="Open Sans" w:hAnsi="Open Sans"/>
          <w:color w:val="auto"/>
        </w:rPr>
      </w:pPr>
      <w:r w:rsidRPr="00123DB1">
        <w:rPr>
          <w:rFonts w:ascii="Open Sans" w:hAnsi="Open Sans"/>
          <w:color w:val="auto"/>
        </w:rPr>
        <w:t xml:space="preserve">The Caldicott Principles </w:t>
      </w:r>
    </w:p>
    <w:p w14:paraId="1086DF31" w14:textId="43344D4A" w:rsidR="00B87436" w:rsidRPr="00123DB1" w:rsidRDefault="00B87436" w:rsidP="00123DB1">
      <w:pPr>
        <w:pStyle w:val="ListParagraph"/>
        <w:numPr>
          <w:ilvl w:val="0"/>
          <w:numId w:val="43"/>
        </w:numPr>
        <w:rPr>
          <w:rFonts w:ascii="Open Sans" w:hAnsi="Open Sans"/>
          <w:color w:val="auto"/>
        </w:rPr>
      </w:pPr>
      <w:r w:rsidRPr="00123DB1">
        <w:rPr>
          <w:rFonts w:ascii="Open Sans" w:hAnsi="Open Sans"/>
          <w:color w:val="auto"/>
        </w:rPr>
        <w:t>General Data Protection Regulation (GDPR)</w:t>
      </w:r>
    </w:p>
    <w:p w14:paraId="212D250F" w14:textId="77777777" w:rsidR="00B87436" w:rsidRDefault="00B87436" w:rsidP="00123DB1">
      <w:pPr>
        <w:pStyle w:val="ListParagraph"/>
        <w:numPr>
          <w:ilvl w:val="0"/>
          <w:numId w:val="43"/>
        </w:numPr>
        <w:rPr>
          <w:rStyle w:val="Hyperlink"/>
          <w:rFonts w:ascii="Open Sans" w:hAnsi="Open Sans"/>
        </w:rPr>
      </w:pPr>
      <w:r w:rsidRPr="00123DB1">
        <w:rPr>
          <w:rFonts w:ascii="Open Sans" w:hAnsi="Open Sans"/>
          <w:color w:val="auto"/>
        </w:rPr>
        <w:t xml:space="preserve">The UK Caldicott Guardian Council (UKCGC) Caldicott Principles </w:t>
      </w:r>
      <w:hyperlink r:id="rId17" w:history="1">
        <w:r w:rsidRPr="00123DB1">
          <w:rPr>
            <w:rStyle w:val="Hyperlink"/>
            <w:rFonts w:ascii="Open Sans" w:hAnsi="Open Sans"/>
          </w:rPr>
          <w:t>https://www.ukcgc.uk/manual/principles</w:t>
        </w:r>
      </w:hyperlink>
    </w:p>
    <w:p w14:paraId="61E52E19" w14:textId="513C0944" w:rsidR="004E51FE" w:rsidRPr="004E51FE" w:rsidRDefault="00000000" w:rsidP="004E51FE">
      <w:pPr>
        <w:pStyle w:val="ListParagraph"/>
        <w:numPr>
          <w:ilvl w:val="0"/>
          <w:numId w:val="43"/>
        </w:numPr>
        <w:rPr>
          <w:rStyle w:val="Hyperlink"/>
          <w:rFonts w:ascii="Open Sans" w:hAnsi="Open Sans" w:cs="Open Sans"/>
        </w:rPr>
      </w:pPr>
      <w:hyperlink r:id="rId18" w:anchor="ig_professional" w:history="1">
        <w:bookmarkStart w:id="20" w:name="_Hlk125986936"/>
        <w:r w:rsidR="004E51FE" w:rsidRPr="006D10A8">
          <w:rPr>
            <w:rStyle w:val="Hyperlink"/>
            <w:rFonts w:ascii="Open Sans" w:hAnsi="Open Sans" w:cs="Open Sans"/>
          </w:rPr>
          <w:t>Access to the health and care records of deceased people - NHS Transformation Directorate (england.nhs.uk</w:t>
        </w:r>
        <w:bookmarkEnd w:id="20"/>
        <w:r w:rsidR="004E51FE" w:rsidRPr="006D10A8">
          <w:rPr>
            <w:rStyle w:val="Hyperlink"/>
            <w:rFonts w:ascii="Open Sans" w:hAnsi="Open Sans" w:cs="Open Sans"/>
          </w:rPr>
          <w:t>)</w:t>
        </w:r>
      </w:hyperlink>
    </w:p>
    <w:p w14:paraId="1A28D5A7" w14:textId="2ECDB84C" w:rsidR="007E0649" w:rsidRDefault="007E0649">
      <w:pPr>
        <w:rPr>
          <w:rFonts w:ascii="Open Sans" w:hAnsi="Open Sans" w:cs="Open Sans"/>
          <w:color w:val="auto"/>
        </w:rPr>
      </w:pPr>
      <w:r>
        <w:rPr>
          <w:rFonts w:ascii="Open Sans" w:hAnsi="Open Sans" w:cs="Open Sans"/>
          <w:color w:val="auto"/>
        </w:rPr>
        <w:br w:type="page"/>
      </w:r>
    </w:p>
    <w:p w14:paraId="329AE360" w14:textId="77777777" w:rsidR="00D2064F" w:rsidRPr="002B681F" w:rsidRDefault="00D2064F" w:rsidP="00D2064F">
      <w:pPr>
        <w:pStyle w:val="Heading1"/>
      </w:pPr>
      <w:bookmarkStart w:id="21" w:name="_Toc97280968"/>
      <w:bookmarkStart w:id="22" w:name="_Toc97728272"/>
      <w:bookmarkStart w:id="23" w:name="_Toc147998801"/>
      <w:r>
        <w:lastRenderedPageBreak/>
        <w:t>Summary of Review</w:t>
      </w:r>
      <w:bookmarkEnd w:id="21"/>
      <w:bookmarkEnd w:id="22"/>
      <w:bookmarkEnd w:id="2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2064F" w14:paraId="6069D8C4" w14:textId="77777777" w:rsidTr="00D35164">
        <w:trPr>
          <w:cantSplit/>
          <w:trHeight w:val="612"/>
        </w:trPr>
        <w:tc>
          <w:tcPr>
            <w:tcW w:w="4490" w:type="dxa"/>
            <w:shd w:val="clear" w:color="auto" w:fill="DEEAF6" w:themeFill="accent5" w:themeFillTint="33"/>
            <w:vAlign w:val="center"/>
          </w:tcPr>
          <w:p w14:paraId="7B11AB65"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FE93381"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2064F" w14:paraId="775770E6" w14:textId="77777777" w:rsidTr="00D35164">
        <w:trPr>
          <w:cantSplit/>
          <w:trHeight w:val="612"/>
        </w:trPr>
        <w:tc>
          <w:tcPr>
            <w:tcW w:w="4490" w:type="dxa"/>
            <w:shd w:val="clear" w:color="auto" w:fill="DEEAF6" w:themeFill="accent5" w:themeFillTint="33"/>
            <w:vAlign w:val="center"/>
          </w:tcPr>
          <w:p w14:paraId="57ADCF9D"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78dc39f5-828d-488c-8337-d294ec1a7678"/>
            <w:id w:val="-1068503558"/>
            <w:placeholder>
              <w:docPart w:val="067F9858AE5C497CBD6C98B0CD6A152E"/>
            </w:placeholder>
          </w:sdtPr>
          <w:sdtContent>
            <w:tc>
              <w:tcPr>
                <w:tcW w:w="4490" w:type="dxa"/>
                <w:shd w:val="clear" w:color="auto" w:fill="F2F2F2" w:themeFill="background1" w:themeFillShade="F2"/>
                <w:vAlign w:val="center"/>
              </w:tcPr>
              <w:p w14:paraId="42028FE7" w14:textId="0D1D500E" w:rsidR="00D2064F" w:rsidRPr="00C25F0F" w:rsidRDefault="006A4F32"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6A4F3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2064F" w14:paraId="1AA19218" w14:textId="77777777" w:rsidTr="00D35164">
        <w:trPr>
          <w:cantSplit/>
          <w:trHeight w:val="612"/>
        </w:trPr>
        <w:tc>
          <w:tcPr>
            <w:tcW w:w="4490" w:type="dxa"/>
            <w:shd w:val="clear" w:color="auto" w:fill="DEEAF6" w:themeFill="accent5" w:themeFillTint="33"/>
            <w:vAlign w:val="center"/>
          </w:tcPr>
          <w:p w14:paraId="70931B8B"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694843A" w14:textId="7C3705CB" w:rsidR="00D2064F" w:rsidRPr="00C25F0F" w:rsidRDefault="00D2064F" w:rsidP="00D35164">
            <w:pPr>
              <w:keepNext/>
              <w:keepLines/>
              <w:rPr>
                <w:rFonts w:ascii="Open Sans" w:hAnsi="Open Sans" w:cs="Open Sans"/>
                <w:color w:val="auto"/>
                <w:sz w:val="20"/>
                <w:szCs w:val="20"/>
              </w:rPr>
            </w:pPr>
          </w:p>
        </w:tc>
      </w:tr>
      <w:tr w:rsidR="00D2064F" w14:paraId="58D5F20F" w14:textId="77777777" w:rsidTr="00D35164">
        <w:trPr>
          <w:cantSplit/>
          <w:trHeight w:val="550"/>
        </w:trPr>
        <w:tc>
          <w:tcPr>
            <w:tcW w:w="4490" w:type="dxa"/>
            <w:shd w:val="clear" w:color="auto" w:fill="DEEAF6" w:themeFill="accent5" w:themeFillTint="33"/>
            <w:vAlign w:val="center"/>
          </w:tcPr>
          <w:p w14:paraId="436E6136"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C941AD2" w14:textId="77777777" w:rsidR="00D2064F" w:rsidRPr="00C25F0F" w:rsidRDefault="00D2064F" w:rsidP="00D35164">
            <w:pPr>
              <w:keepNext/>
              <w:keepLines/>
              <w:rPr>
                <w:rFonts w:ascii="Open Sans" w:hAnsi="Open Sans" w:cs="Open Sans"/>
                <w:color w:val="auto"/>
                <w:sz w:val="20"/>
                <w:szCs w:val="20"/>
              </w:rPr>
            </w:pPr>
          </w:p>
        </w:tc>
      </w:tr>
      <w:tr w:rsidR="00D2064F" w14:paraId="2C82E48B" w14:textId="77777777" w:rsidTr="00D35164">
        <w:trPr>
          <w:cantSplit/>
          <w:trHeight w:val="1020"/>
        </w:trPr>
        <w:tc>
          <w:tcPr>
            <w:tcW w:w="4479" w:type="dxa"/>
            <w:shd w:val="clear" w:color="auto" w:fill="DEEAF6" w:themeFill="accent5" w:themeFillTint="33"/>
            <w:vAlign w:val="center"/>
          </w:tcPr>
          <w:p w14:paraId="22B40863"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FB276C2" w14:textId="77777777" w:rsidR="00D2064F" w:rsidRPr="00C25F0F" w:rsidRDefault="00D2064F" w:rsidP="00D35164">
            <w:pPr>
              <w:keepNext/>
              <w:keepLines/>
              <w:rPr>
                <w:rFonts w:ascii="Open Sans" w:hAnsi="Open Sans" w:cs="Open Sans"/>
                <w:color w:val="auto"/>
                <w:sz w:val="20"/>
                <w:szCs w:val="20"/>
              </w:rPr>
            </w:pPr>
          </w:p>
        </w:tc>
      </w:tr>
      <w:tr w:rsidR="00D2064F" w14:paraId="6029880A" w14:textId="77777777" w:rsidTr="00D35164">
        <w:trPr>
          <w:cantSplit/>
          <w:trHeight w:val="501"/>
        </w:trPr>
        <w:tc>
          <w:tcPr>
            <w:tcW w:w="4490" w:type="dxa"/>
            <w:shd w:val="clear" w:color="auto" w:fill="DEEAF6" w:themeFill="accent5" w:themeFillTint="33"/>
            <w:vAlign w:val="center"/>
          </w:tcPr>
          <w:p w14:paraId="348669E9"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399D914"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2064F" w14:paraId="7FD4931E" w14:textId="77777777" w:rsidTr="00D35164">
        <w:trPr>
          <w:cantSplit/>
          <w:trHeight w:val="501"/>
        </w:trPr>
        <w:tc>
          <w:tcPr>
            <w:tcW w:w="4490" w:type="dxa"/>
            <w:shd w:val="clear" w:color="auto" w:fill="DEEAF6" w:themeFill="accent5" w:themeFillTint="33"/>
            <w:vAlign w:val="center"/>
          </w:tcPr>
          <w:p w14:paraId="3454D52E" w14:textId="77777777" w:rsidR="00D2064F" w:rsidRPr="00C25F0F" w:rsidRDefault="00D2064F"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a6334472-8e61-46da-8a0c-e4270ee2020a"/>
            <w:id w:val="-1982612215"/>
            <w:placeholder>
              <w:docPart w:val="5BA4C0C1071B48FE8BDD78BAD97562C7"/>
            </w:placeholder>
          </w:sdtPr>
          <w:sdtContent>
            <w:tc>
              <w:tcPr>
                <w:tcW w:w="4490" w:type="dxa"/>
                <w:shd w:val="clear" w:color="auto" w:fill="F2F2F2" w:themeFill="background1" w:themeFillShade="F2"/>
                <w:vAlign w:val="center"/>
              </w:tcPr>
              <w:p w14:paraId="35830E9E" w14:textId="3515B501" w:rsidR="00D2064F" w:rsidRPr="00C25F0F" w:rsidRDefault="00AA04EC"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AA04EC">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91CF04B" w14:textId="77777777" w:rsidR="00B10813" w:rsidRPr="002B681F" w:rsidRDefault="00B10813" w:rsidP="002E2C26">
      <w:pPr>
        <w:rPr>
          <w:rFonts w:ascii="Open Sans" w:hAnsi="Open Sans" w:cs="Open Sans"/>
          <w:color w:val="auto"/>
        </w:rPr>
      </w:pPr>
    </w:p>
    <w:sectPr w:rsidR="00B10813" w:rsidRPr="002B681F" w:rsidSect="008461A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AAB1" w14:textId="77777777" w:rsidR="00C74297" w:rsidRDefault="00C74297" w:rsidP="00F26800">
      <w:pPr>
        <w:spacing w:after="0" w:line="240" w:lineRule="auto"/>
      </w:pPr>
      <w:r>
        <w:separator/>
      </w:r>
    </w:p>
  </w:endnote>
  <w:endnote w:type="continuationSeparator" w:id="0">
    <w:p w14:paraId="16B9F038" w14:textId="77777777" w:rsidR="00C74297" w:rsidRDefault="00C74297" w:rsidP="00F26800">
      <w:pPr>
        <w:spacing w:after="0" w:line="240" w:lineRule="auto"/>
      </w:pPr>
      <w:r>
        <w:continuationSeparator/>
      </w:r>
    </w:p>
  </w:endnote>
  <w:endnote w:type="continuationNotice" w:id="1">
    <w:p w14:paraId="43A35B7C" w14:textId="77777777" w:rsidR="00C74297" w:rsidRDefault="00C74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5251" w14:textId="77777777" w:rsidR="005E00C6" w:rsidRDefault="005E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9ED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D3BEB1F" wp14:editId="1EB7C58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B21878A" wp14:editId="2059752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37EF7326"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2F01F9A" wp14:editId="70F926E4">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782158EF" w14:textId="07BEA55F" w:rsidR="00F26800" w:rsidRPr="00B9509F" w:rsidRDefault="00440ED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Confidentiality</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086E3C">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325DCAC0" w14:textId="77777777" w:rsidR="0009208F" w:rsidRDefault="0009208F" w:rsidP="00471F18">
    <w:pPr>
      <w:pStyle w:val="Footer"/>
      <w:tabs>
        <w:tab w:val="left" w:pos="12195"/>
      </w:tabs>
      <w:rPr>
        <w:color w:val="auto"/>
      </w:rPr>
    </w:pPr>
  </w:p>
  <w:p w14:paraId="53380064" w14:textId="635D96E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086E3C">
      <w:rPr>
        <w:rFonts w:ascii="Open Sans" w:hAnsi="Open Sans" w:cs="Open Sans"/>
        <w:color w:val="auto"/>
        <w:sz w:val="18"/>
        <w:szCs w:val="18"/>
      </w:rPr>
      <w:t>3</w:t>
    </w:r>
    <w:r w:rsidR="00D25D9F" w:rsidRPr="00A54D62">
      <w:rPr>
        <w:rFonts w:ascii="Open Sans" w:hAnsi="Open Sans" w:cs="Open Sans"/>
        <w:color w:val="auto"/>
        <w:sz w:val="18"/>
        <w:szCs w:val="18"/>
      </w:rPr>
      <w:tab/>
    </w:r>
  </w:p>
  <w:p w14:paraId="2673D199"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234B" w14:textId="369E97DD"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77F9C81" wp14:editId="65A3C904">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D3F3142" w14:textId="77777777" w:rsidR="00DA5468" w:rsidRPr="001D5FF8" w:rsidRDefault="00DA5468" w:rsidP="00DA5468">
                          <w:pPr>
                            <w:spacing w:after="0"/>
                            <w:jc w:val="center"/>
                            <w:rPr>
                              <w:rFonts w:ascii="Cambria" w:hAnsi="Cambria"/>
                              <w:b/>
                              <w:color w:val="44546A" w:themeColor="text2"/>
                              <w:sz w:val="24"/>
                            </w:rPr>
                          </w:pPr>
                        </w:p>
                        <w:p w14:paraId="7C51BC9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6BBEFCC" w14:textId="77777777" w:rsidR="00DA5468" w:rsidRPr="001D5FF8" w:rsidRDefault="00DA5468" w:rsidP="00DA5468">
                          <w:pPr>
                            <w:spacing w:after="0"/>
                            <w:jc w:val="center"/>
                            <w:rPr>
                              <w:rFonts w:ascii="Cambria" w:hAnsi="Cambria"/>
                              <w:b/>
                              <w:color w:val="44546A" w:themeColor="text2"/>
                              <w:sz w:val="24"/>
                            </w:rPr>
                          </w:pPr>
                        </w:p>
                        <w:p w14:paraId="52EB5F5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F9C81"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D3F3142" w14:textId="77777777" w:rsidR="00DA5468" w:rsidRPr="001D5FF8" w:rsidRDefault="00DA5468" w:rsidP="00DA5468">
                    <w:pPr>
                      <w:spacing w:after="0"/>
                      <w:jc w:val="center"/>
                      <w:rPr>
                        <w:rFonts w:ascii="Cambria" w:hAnsi="Cambria"/>
                        <w:b/>
                        <w:color w:val="44546A" w:themeColor="text2"/>
                        <w:sz w:val="24"/>
                      </w:rPr>
                    </w:pPr>
                  </w:p>
                  <w:p w14:paraId="7C51BC9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6BBEFCC" w14:textId="77777777" w:rsidR="00DA5468" w:rsidRPr="001D5FF8" w:rsidRDefault="00DA5468" w:rsidP="00DA5468">
                    <w:pPr>
                      <w:spacing w:after="0"/>
                      <w:jc w:val="center"/>
                      <w:rPr>
                        <w:rFonts w:ascii="Cambria" w:hAnsi="Cambria"/>
                        <w:b/>
                        <w:color w:val="44546A" w:themeColor="text2"/>
                        <w:sz w:val="24"/>
                      </w:rPr>
                    </w:pPr>
                  </w:p>
                  <w:p w14:paraId="52EB5F5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7639B95" wp14:editId="23548A02">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4739FAB"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21CB" w14:textId="77777777" w:rsidR="00C74297" w:rsidRDefault="00C74297" w:rsidP="00F26800">
      <w:pPr>
        <w:spacing w:after="0" w:line="240" w:lineRule="auto"/>
      </w:pPr>
      <w:r>
        <w:separator/>
      </w:r>
    </w:p>
  </w:footnote>
  <w:footnote w:type="continuationSeparator" w:id="0">
    <w:p w14:paraId="53B74733" w14:textId="77777777" w:rsidR="00C74297" w:rsidRDefault="00C74297" w:rsidP="00F26800">
      <w:pPr>
        <w:spacing w:after="0" w:line="240" w:lineRule="auto"/>
      </w:pPr>
      <w:r>
        <w:continuationSeparator/>
      </w:r>
    </w:p>
  </w:footnote>
  <w:footnote w:type="continuationNotice" w:id="1">
    <w:p w14:paraId="7EB236E7" w14:textId="77777777" w:rsidR="00C74297" w:rsidRDefault="00C74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B5B6" w14:textId="77777777" w:rsidR="005E00C6" w:rsidRDefault="005E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098fc002-a4cf-49e7-9453-49f880569f99"/>
      <w:id w:val="592900664"/>
      <w:placeholder>
        <w:docPart w:val="F7901A72F3974463BD10248F20CE5A19"/>
      </w:placeholder>
    </w:sdtPr>
    <w:sdtContent>
      <w:p w14:paraId="34AE7AC7" w14:textId="22DC0989" w:rsidR="00C047B1" w:rsidRPr="004E66D5" w:rsidRDefault="004E66D5" w:rsidP="004E66D5">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4E66D5">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84E" w14:textId="2626D5C5" w:rsidR="003D3F42" w:rsidRPr="005E00C6" w:rsidRDefault="003D3F42" w:rsidP="00086E3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05BB6"/>
    <w:multiLevelType w:val="hybridMultilevel"/>
    <w:tmpl w:val="3C0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703FD"/>
    <w:multiLevelType w:val="hybridMultilevel"/>
    <w:tmpl w:val="454A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C0E8C"/>
    <w:multiLevelType w:val="hybridMultilevel"/>
    <w:tmpl w:val="8AF0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9D2"/>
    <w:multiLevelType w:val="hybridMultilevel"/>
    <w:tmpl w:val="68B8F1C8"/>
    <w:lvl w:ilvl="0" w:tplc="0D6429E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25D27"/>
    <w:multiLevelType w:val="hybridMultilevel"/>
    <w:tmpl w:val="B94A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907C1"/>
    <w:multiLevelType w:val="hybridMultilevel"/>
    <w:tmpl w:val="45B0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C3081"/>
    <w:multiLevelType w:val="hybridMultilevel"/>
    <w:tmpl w:val="2458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D25D4"/>
    <w:multiLevelType w:val="hybridMultilevel"/>
    <w:tmpl w:val="F952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3EE3"/>
    <w:multiLevelType w:val="hybridMultilevel"/>
    <w:tmpl w:val="8350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56784"/>
    <w:multiLevelType w:val="hybridMultilevel"/>
    <w:tmpl w:val="ED0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A72C2E"/>
    <w:multiLevelType w:val="hybridMultilevel"/>
    <w:tmpl w:val="4E50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E7471"/>
    <w:multiLevelType w:val="hybridMultilevel"/>
    <w:tmpl w:val="AA8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A0CC9"/>
    <w:multiLevelType w:val="hybridMultilevel"/>
    <w:tmpl w:val="60B2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605C7"/>
    <w:multiLevelType w:val="hybridMultilevel"/>
    <w:tmpl w:val="BD98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66637"/>
    <w:multiLevelType w:val="hybridMultilevel"/>
    <w:tmpl w:val="3A80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A6F46"/>
    <w:multiLevelType w:val="hybridMultilevel"/>
    <w:tmpl w:val="5E7C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80C5C"/>
    <w:multiLevelType w:val="hybridMultilevel"/>
    <w:tmpl w:val="C540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099393">
    <w:abstractNumId w:val="32"/>
  </w:num>
  <w:num w:numId="2" w16cid:durableId="567302547">
    <w:abstractNumId w:val="38"/>
  </w:num>
  <w:num w:numId="3" w16cid:durableId="1743214275">
    <w:abstractNumId w:val="37"/>
  </w:num>
  <w:num w:numId="4" w16cid:durableId="1764836163">
    <w:abstractNumId w:val="35"/>
  </w:num>
  <w:num w:numId="5" w16cid:durableId="1279601305">
    <w:abstractNumId w:val="18"/>
  </w:num>
  <w:num w:numId="6" w16cid:durableId="1624311254">
    <w:abstractNumId w:val="20"/>
  </w:num>
  <w:num w:numId="7" w16cid:durableId="2056155976">
    <w:abstractNumId w:val="21"/>
  </w:num>
  <w:num w:numId="8" w16cid:durableId="1441224486">
    <w:abstractNumId w:val="35"/>
  </w:num>
  <w:num w:numId="9" w16cid:durableId="1591498447">
    <w:abstractNumId w:val="2"/>
  </w:num>
  <w:num w:numId="10" w16cid:durableId="99030051">
    <w:abstractNumId w:val="9"/>
  </w:num>
  <w:num w:numId="11" w16cid:durableId="196162775">
    <w:abstractNumId w:val="17"/>
  </w:num>
  <w:num w:numId="12" w16cid:durableId="495808690">
    <w:abstractNumId w:val="10"/>
  </w:num>
  <w:num w:numId="13" w16cid:durableId="869415492">
    <w:abstractNumId w:val="4"/>
  </w:num>
  <w:num w:numId="14" w16cid:durableId="23870734">
    <w:abstractNumId w:val="31"/>
  </w:num>
  <w:num w:numId="15" w16cid:durableId="133373306">
    <w:abstractNumId w:val="29"/>
  </w:num>
  <w:num w:numId="16" w16cid:durableId="67461857">
    <w:abstractNumId w:val="36"/>
  </w:num>
  <w:num w:numId="17" w16cid:durableId="994450440">
    <w:abstractNumId w:val="34"/>
  </w:num>
  <w:num w:numId="18" w16cid:durableId="170146777">
    <w:abstractNumId w:val="0"/>
  </w:num>
  <w:num w:numId="19" w16cid:durableId="770929159">
    <w:abstractNumId w:val="5"/>
  </w:num>
  <w:num w:numId="20" w16cid:durableId="1077828838">
    <w:abstractNumId w:val="14"/>
  </w:num>
  <w:num w:numId="21" w16cid:durableId="2010011943">
    <w:abstractNumId w:val="24"/>
  </w:num>
  <w:num w:numId="22" w16cid:durableId="461729669">
    <w:abstractNumId w:val="23"/>
  </w:num>
  <w:num w:numId="23" w16cid:durableId="184638477">
    <w:abstractNumId w:val="25"/>
  </w:num>
  <w:num w:numId="24" w16cid:durableId="851841610">
    <w:abstractNumId w:val="8"/>
  </w:num>
  <w:num w:numId="25" w16cid:durableId="1825581912">
    <w:abstractNumId w:val="33"/>
  </w:num>
  <w:num w:numId="26" w16cid:durableId="800659787">
    <w:abstractNumId w:val="39"/>
  </w:num>
  <w:num w:numId="27" w16cid:durableId="553467910">
    <w:abstractNumId w:val="1"/>
  </w:num>
  <w:num w:numId="28" w16cid:durableId="1299409777">
    <w:abstractNumId w:val="11"/>
  </w:num>
  <w:num w:numId="29" w16cid:durableId="1337876446">
    <w:abstractNumId w:val="12"/>
  </w:num>
  <w:num w:numId="30" w16cid:durableId="559247762">
    <w:abstractNumId w:val="6"/>
  </w:num>
  <w:num w:numId="31" w16cid:durableId="911815112">
    <w:abstractNumId w:val="19"/>
  </w:num>
  <w:num w:numId="32" w16cid:durableId="166140265">
    <w:abstractNumId w:val="22"/>
  </w:num>
  <w:num w:numId="33" w16cid:durableId="1442215742">
    <w:abstractNumId w:val="15"/>
  </w:num>
  <w:num w:numId="34" w16cid:durableId="532154618">
    <w:abstractNumId w:val="3"/>
  </w:num>
  <w:num w:numId="35" w16cid:durableId="759563517">
    <w:abstractNumId w:val="28"/>
  </w:num>
  <w:num w:numId="36" w16cid:durableId="419567544">
    <w:abstractNumId w:val="16"/>
  </w:num>
  <w:num w:numId="37" w16cid:durableId="1951234028">
    <w:abstractNumId w:val="26"/>
  </w:num>
  <w:num w:numId="38" w16cid:durableId="1028142591">
    <w:abstractNumId w:val="40"/>
  </w:num>
  <w:num w:numId="39" w16cid:durableId="908031790">
    <w:abstractNumId w:val="13"/>
  </w:num>
  <w:num w:numId="40" w16cid:durableId="2081319194">
    <w:abstractNumId w:val="41"/>
  </w:num>
  <w:num w:numId="41" w16cid:durableId="1162116155">
    <w:abstractNumId w:val="30"/>
  </w:num>
  <w:num w:numId="42" w16cid:durableId="1125272905">
    <w:abstractNumId w:val="27"/>
  </w:num>
  <w:num w:numId="43" w16cid:durableId="440151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Q1MDMwszQGYiUdpeDU4uLM/DyQAsNaAIJxlpEsAAAA"/>
  </w:docVars>
  <w:rsids>
    <w:rsidRoot w:val="00F26800"/>
    <w:rsid w:val="0001194A"/>
    <w:rsid w:val="00012AB8"/>
    <w:rsid w:val="000258B0"/>
    <w:rsid w:val="000269C5"/>
    <w:rsid w:val="0003666A"/>
    <w:rsid w:val="00037439"/>
    <w:rsid w:val="00050E25"/>
    <w:rsid w:val="00056C60"/>
    <w:rsid w:val="000638DD"/>
    <w:rsid w:val="0007246C"/>
    <w:rsid w:val="00086E3C"/>
    <w:rsid w:val="00086E3F"/>
    <w:rsid w:val="000916D1"/>
    <w:rsid w:val="0009208F"/>
    <w:rsid w:val="000A27E6"/>
    <w:rsid w:val="000A5758"/>
    <w:rsid w:val="000B49EF"/>
    <w:rsid w:val="000B7048"/>
    <w:rsid w:val="000D665B"/>
    <w:rsid w:val="000E39C2"/>
    <w:rsid w:val="000E6693"/>
    <w:rsid w:val="000F2324"/>
    <w:rsid w:val="000F727C"/>
    <w:rsid w:val="00117067"/>
    <w:rsid w:val="00123DB1"/>
    <w:rsid w:val="00127C42"/>
    <w:rsid w:val="00131950"/>
    <w:rsid w:val="00132474"/>
    <w:rsid w:val="00136CFC"/>
    <w:rsid w:val="001379FC"/>
    <w:rsid w:val="00150A71"/>
    <w:rsid w:val="00151C78"/>
    <w:rsid w:val="001521B8"/>
    <w:rsid w:val="0015558D"/>
    <w:rsid w:val="001622B9"/>
    <w:rsid w:val="001770C1"/>
    <w:rsid w:val="00182EF0"/>
    <w:rsid w:val="0019382A"/>
    <w:rsid w:val="0019796E"/>
    <w:rsid w:val="001B04F4"/>
    <w:rsid w:val="001B0E65"/>
    <w:rsid w:val="001C5309"/>
    <w:rsid w:val="001D11DF"/>
    <w:rsid w:val="001D18F6"/>
    <w:rsid w:val="001D58B0"/>
    <w:rsid w:val="001D5FF8"/>
    <w:rsid w:val="001D66B2"/>
    <w:rsid w:val="001E1B5B"/>
    <w:rsid w:val="001E3B34"/>
    <w:rsid w:val="001E505C"/>
    <w:rsid w:val="001F0F73"/>
    <w:rsid w:val="00212D5F"/>
    <w:rsid w:val="0022748A"/>
    <w:rsid w:val="002379DF"/>
    <w:rsid w:val="0024467E"/>
    <w:rsid w:val="00253630"/>
    <w:rsid w:val="00255CE6"/>
    <w:rsid w:val="00260C4F"/>
    <w:rsid w:val="00262673"/>
    <w:rsid w:val="002723A8"/>
    <w:rsid w:val="00276712"/>
    <w:rsid w:val="00280AAE"/>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22BE"/>
    <w:rsid w:val="00333E42"/>
    <w:rsid w:val="00336D06"/>
    <w:rsid w:val="00337597"/>
    <w:rsid w:val="003407E1"/>
    <w:rsid w:val="00355159"/>
    <w:rsid w:val="00363146"/>
    <w:rsid w:val="00367919"/>
    <w:rsid w:val="003705E7"/>
    <w:rsid w:val="003805D5"/>
    <w:rsid w:val="003A30C4"/>
    <w:rsid w:val="003C7AB4"/>
    <w:rsid w:val="003D1D86"/>
    <w:rsid w:val="003D3F42"/>
    <w:rsid w:val="003E5A0D"/>
    <w:rsid w:val="003F156A"/>
    <w:rsid w:val="003F3A4C"/>
    <w:rsid w:val="004234D7"/>
    <w:rsid w:val="004338E5"/>
    <w:rsid w:val="00440EDD"/>
    <w:rsid w:val="00466551"/>
    <w:rsid w:val="00467D0C"/>
    <w:rsid w:val="00467EF7"/>
    <w:rsid w:val="00470EB9"/>
    <w:rsid w:val="00471F18"/>
    <w:rsid w:val="00473D3F"/>
    <w:rsid w:val="00473FE0"/>
    <w:rsid w:val="004748ED"/>
    <w:rsid w:val="00481470"/>
    <w:rsid w:val="00481657"/>
    <w:rsid w:val="0048239F"/>
    <w:rsid w:val="00491B2B"/>
    <w:rsid w:val="00495953"/>
    <w:rsid w:val="004C1850"/>
    <w:rsid w:val="004D6E76"/>
    <w:rsid w:val="004E51FE"/>
    <w:rsid w:val="004E66D5"/>
    <w:rsid w:val="004F01F0"/>
    <w:rsid w:val="004F2872"/>
    <w:rsid w:val="0051704D"/>
    <w:rsid w:val="005243BA"/>
    <w:rsid w:val="00525984"/>
    <w:rsid w:val="00525AD9"/>
    <w:rsid w:val="00527E2F"/>
    <w:rsid w:val="005328B0"/>
    <w:rsid w:val="00547DE8"/>
    <w:rsid w:val="00553322"/>
    <w:rsid w:val="00553A69"/>
    <w:rsid w:val="00556990"/>
    <w:rsid w:val="00560A98"/>
    <w:rsid w:val="005638B0"/>
    <w:rsid w:val="0056627A"/>
    <w:rsid w:val="00572AB8"/>
    <w:rsid w:val="005736EB"/>
    <w:rsid w:val="00575BD4"/>
    <w:rsid w:val="00586557"/>
    <w:rsid w:val="00586586"/>
    <w:rsid w:val="005867F4"/>
    <w:rsid w:val="00592106"/>
    <w:rsid w:val="00593398"/>
    <w:rsid w:val="005A1EB5"/>
    <w:rsid w:val="005A24AB"/>
    <w:rsid w:val="005A30BD"/>
    <w:rsid w:val="005A53FC"/>
    <w:rsid w:val="005B5304"/>
    <w:rsid w:val="005C48D3"/>
    <w:rsid w:val="005C6D13"/>
    <w:rsid w:val="005D0260"/>
    <w:rsid w:val="005D37DA"/>
    <w:rsid w:val="005E00C6"/>
    <w:rsid w:val="00607F19"/>
    <w:rsid w:val="006146AF"/>
    <w:rsid w:val="0064490C"/>
    <w:rsid w:val="006504EC"/>
    <w:rsid w:val="00652707"/>
    <w:rsid w:val="00653CDF"/>
    <w:rsid w:val="006540CC"/>
    <w:rsid w:val="00656408"/>
    <w:rsid w:val="00660643"/>
    <w:rsid w:val="00664DC7"/>
    <w:rsid w:val="00664F53"/>
    <w:rsid w:val="006650B6"/>
    <w:rsid w:val="006931DC"/>
    <w:rsid w:val="00693FBE"/>
    <w:rsid w:val="006945ED"/>
    <w:rsid w:val="00694C64"/>
    <w:rsid w:val="006A43B2"/>
    <w:rsid w:val="006A4F3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719A0"/>
    <w:rsid w:val="00775702"/>
    <w:rsid w:val="00776FED"/>
    <w:rsid w:val="00780B49"/>
    <w:rsid w:val="00787A72"/>
    <w:rsid w:val="00790903"/>
    <w:rsid w:val="007970CB"/>
    <w:rsid w:val="007A4133"/>
    <w:rsid w:val="007B18EE"/>
    <w:rsid w:val="007D1983"/>
    <w:rsid w:val="007E0649"/>
    <w:rsid w:val="007E189F"/>
    <w:rsid w:val="007E5EDE"/>
    <w:rsid w:val="007E79E1"/>
    <w:rsid w:val="007F038D"/>
    <w:rsid w:val="008071C6"/>
    <w:rsid w:val="008126EE"/>
    <w:rsid w:val="00812F73"/>
    <w:rsid w:val="008131AF"/>
    <w:rsid w:val="00824A75"/>
    <w:rsid w:val="00830168"/>
    <w:rsid w:val="008307AC"/>
    <w:rsid w:val="00841EB5"/>
    <w:rsid w:val="008461A5"/>
    <w:rsid w:val="00852BC0"/>
    <w:rsid w:val="008566AC"/>
    <w:rsid w:val="00860B18"/>
    <w:rsid w:val="008654E3"/>
    <w:rsid w:val="00877C5C"/>
    <w:rsid w:val="00893F87"/>
    <w:rsid w:val="008A21FE"/>
    <w:rsid w:val="008A34E1"/>
    <w:rsid w:val="008A43FD"/>
    <w:rsid w:val="008A46AA"/>
    <w:rsid w:val="008A472E"/>
    <w:rsid w:val="008B198D"/>
    <w:rsid w:val="008D6BE7"/>
    <w:rsid w:val="008D7E6F"/>
    <w:rsid w:val="008E487F"/>
    <w:rsid w:val="008E5540"/>
    <w:rsid w:val="008F3595"/>
    <w:rsid w:val="008F56CD"/>
    <w:rsid w:val="008F7E34"/>
    <w:rsid w:val="009066C3"/>
    <w:rsid w:val="00907B6D"/>
    <w:rsid w:val="009107AC"/>
    <w:rsid w:val="00913ECF"/>
    <w:rsid w:val="0091719B"/>
    <w:rsid w:val="00925B5F"/>
    <w:rsid w:val="009310A1"/>
    <w:rsid w:val="009311C1"/>
    <w:rsid w:val="00936C02"/>
    <w:rsid w:val="00941A4D"/>
    <w:rsid w:val="00942468"/>
    <w:rsid w:val="00944C7D"/>
    <w:rsid w:val="0095312B"/>
    <w:rsid w:val="00954F19"/>
    <w:rsid w:val="0097224C"/>
    <w:rsid w:val="00974BA6"/>
    <w:rsid w:val="0098533C"/>
    <w:rsid w:val="009A6A1B"/>
    <w:rsid w:val="009C22E7"/>
    <w:rsid w:val="009D2397"/>
    <w:rsid w:val="009D2E9C"/>
    <w:rsid w:val="009E27BC"/>
    <w:rsid w:val="009E29B3"/>
    <w:rsid w:val="009F2092"/>
    <w:rsid w:val="009F6D38"/>
    <w:rsid w:val="00A00877"/>
    <w:rsid w:val="00A10050"/>
    <w:rsid w:val="00A10CC1"/>
    <w:rsid w:val="00A338E4"/>
    <w:rsid w:val="00A40009"/>
    <w:rsid w:val="00A42CAA"/>
    <w:rsid w:val="00A54D62"/>
    <w:rsid w:val="00A61563"/>
    <w:rsid w:val="00A63480"/>
    <w:rsid w:val="00A6539E"/>
    <w:rsid w:val="00A84168"/>
    <w:rsid w:val="00A86F55"/>
    <w:rsid w:val="00A87C38"/>
    <w:rsid w:val="00A94A2B"/>
    <w:rsid w:val="00A97E92"/>
    <w:rsid w:val="00AA03BC"/>
    <w:rsid w:val="00AA04EC"/>
    <w:rsid w:val="00AA4830"/>
    <w:rsid w:val="00AB528C"/>
    <w:rsid w:val="00AC75B0"/>
    <w:rsid w:val="00AD6C6D"/>
    <w:rsid w:val="00AE6B30"/>
    <w:rsid w:val="00B00AC3"/>
    <w:rsid w:val="00B03482"/>
    <w:rsid w:val="00B0412F"/>
    <w:rsid w:val="00B10813"/>
    <w:rsid w:val="00B20F79"/>
    <w:rsid w:val="00B32323"/>
    <w:rsid w:val="00B40B34"/>
    <w:rsid w:val="00B4560C"/>
    <w:rsid w:val="00B50616"/>
    <w:rsid w:val="00B524DF"/>
    <w:rsid w:val="00B57624"/>
    <w:rsid w:val="00B63D02"/>
    <w:rsid w:val="00B737B3"/>
    <w:rsid w:val="00B757E0"/>
    <w:rsid w:val="00B87436"/>
    <w:rsid w:val="00B9509F"/>
    <w:rsid w:val="00BA42B3"/>
    <w:rsid w:val="00BA57E1"/>
    <w:rsid w:val="00BB047B"/>
    <w:rsid w:val="00BB1FE2"/>
    <w:rsid w:val="00BB1FE5"/>
    <w:rsid w:val="00BC6849"/>
    <w:rsid w:val="00BD44F8"/>
    <w:rsid w:val="00BF5B9E"/>
    <w:rsid w:val="00BF7C30"/>
    <w:rsid w:val="00BF7C3D"/>
    <w:rsid w:val="00C047B1"/>
    <w:rsid w:val="00C12256"/>
    <w:rsid w:val="00C27301"/>
    <w:rsid w:val="00C3533C"/>
    <w:rsid w:val="00C4629A"/>
    <w:rsid w:val="00C523DD"/>
    <w:rsid w:val="00C6507C"/>
    <w:rsid w:val="00C66F16"/>
    <w:rsid w:val="00C715F6"/>
    <w:rsid w:val="00C7178A"/>
    <w:rsid w:val="00C73541"/>
    <w:rsid w:val="00C73AE3"/>
    <w:rsid w:val="00C74297"/>
    <w:rsid w:val="00C80992"/>
    <w:rsid w:val="00C90E70"/>
    <w:rsid w:val="00CA0D03"/>
    <w:rsid w:val="00CA344C"/>
    <w:rsid w:val="00CA346F"/>
    <w:rsid w:val="00CA3D05"/>
    <w:rsid w:val="00CA5003"/>
    <w:rsid w:val="00CD0BC9"/>
    <w:rsid w:val="00CD0E60"/>
    <w:rsid w:val="00CF0A20"/>
    <w:rsid w:val="00CF6CD2"/>
    <w:rsid w:val="00CF6D39"/>
    <w:rsid w:val="00D1065B"/>
    <w:rsid w:val="00D160EE"/>
    <w:rsid w:val="00D2064F"/>
    <w:rsid w:val="00D24349"/>
    <w:rsid w:val="00D25D9F"/>
    <w:rsid w:val="00D31133"/>
    <w:rsid w:val="00D31D1F"/>
    <w:rsid w:val="00D419AC"/>
    <w:rsid w:val="00D57BF5"/>
    <w:rsid w:val="00D64A3C"/>
    <w:rsid w:val="00D71BD5"/>
    <w:rsid w:val="00D97983"/>
    <w:rsid w:val="00DA5468"/>
    <w:rsid w:val="00DA6C69"/>
    <w:rsid w:val="00DB4BF0"/>
    <w:rsid w:val="00DB5716"/>
    <w:rsid w:val="00DC5317"/>
    <w:rsid w:val="00DE5210"/>
    <w:rsid w:val="00DF5A30"/>
    <w:rsid w:val="00E030EA"/>
    <w:rsid w:val="00E0594F"/>
    <w:rsid w:val="00E11652"/>
    <w:rsid w:val="00E331CB"/>
    <w:rsid w:val="00E60654"/>
    <w:rsid w:val="00E636F6"/>
    <w:rsid w:val="00E67831"/>
    <w:rsid w:val="00E75041"/>
    <w:rsid w:val="00E83F0D"/>
    <w:rsid w:val="00E90488"/>
    <w:rsid w:val="00EA546D"/>
    <w:rsid w:val="00EA6F05"/>
    <w:rsid w:val="00EA7C0E"/>
    <w:rsid w:val="00EB40AA"/>
    <w:rsid w:val="00EB6A97"/>
    <w:rsid w:val="00EC31A3"/>
    <w:rsid w:val="00EC46C3"/>
    <w:rsid w:val="00ED4A78"/>
    <w:rsid w:val="00ED51CB"/>
    <w:rsid w:val="00EE2ED4"/>
    <w:rsid w:val="00EE5A8F"/>
    <w:rsid w:val="00EF2AC2"/>
    <w:rsid w:val="00F10B52"/>
    <w:rsid w:val="00F13E76"/>
    <w:rsid w:val="00F17033"/>
    <w:rsid w:val="00F20468"/>
    <w:rsid w:val="00F26800"/>
    <w:rsid w:val="00F327FF"/>
    <w:rsid w:val="00F34076"/>
    <w:rsid w:val="00F53013"/>
    <w:rsid w:val="00F632AF"/>
    <w:rsid w:val="00F85CB5"/>
    <w:rsid w:val="00F90786"/>
    <w:rsid w:val="00F93B14"/>
    <w:rsid w:val="00F94A96"/>
    <w:rsid w:val="00F974B8"/>
    <w:rsid w:val="00FA75BE"/>
    <w:rsid w:val="00FB0CAA"/>
    <w:rsid w:val="00FB3A03"/>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1E77E"/>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unhideWhenUsed/>
    <w:rsid w:val="0007246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64490C"/>
    <w:rPr>
      <w:color w:val="954F72" w:themeColor="followedHyperlink"/>
      <w:u w:val="single"/>
    </w:rPr>
  </w:style>
  <w:style w:type="character" w:styleId="PlaceholderText">
    <w:name w:val="Placeholder Text"/>
    <w:basedOn w:val="DefaultParagraphFont"/>
    <w:uiPriority w:val="99"/>
    <w:semiHidden/>
    <w:rsid w:val="00CA3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13756/Caldicott_Guardian_guidance_v1.0_27.08.21.pdf" TargetMode="External"/><Relationship Id="rId18" Type="http://schemas.openxmlformats.org/officeDocument/2006/relationships/hyperlink" Target="https://transform.england.nhs.uk/information-governance/guidance/access-to-the-health-and-care-records-of-deceased-peopl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mc-uk.org/ethical-guidance/learning-materials/confidentiality-decision-tool" TargetMode="External"/><Relationship Id="rId17" Type="http://schemas.openxmlformats.org/officeDocument/2006/relationships/hyperlink" Target="https://www.ukcgc.uk/manual/princip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media/1061/anonymisation-cod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mc-uk.org/ethical-guidance/learning-materials/confidentiality-decision-too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2217/Eight_Caldicott_Principles_08.12.20.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5B176654145FAAC90E1526642E5B2"/>
        <w:category>
          <w:name w:val="General"/>
          <w:gallery w:val="placeholder"/>
        </w:category>
        <w:types>
          <w:type w:val="bbPlcHdr"/>
        </w:types>
        <w:behaviors>
          <w:behavior w:val="content"/>
        </w:behaviors>
        <w:guid w:val="{B59C491D-8A5E-489E-A221-4AF6DCABB051}"/>
      </w:docPartPr>
      <w:docPartBody>
        <w:p w:rsidR="0053148D" w:rsidRDefault="0028304C">
          <w:r w:rsidRPr="00E42389">
            <w:rPr>
              <w:rStyle w:val="PlaceholderText"/>
            </w:rPr>
            <w:t>Company Logo</w:t>
          </w:r>
        </w:p>
      </w:docPartBody>
    </w:docPart>
    <w:docPart>
      <w:docPartPr>
        <w:name w:val="4106C5EF25A144E6A8E253B4AACC70DE"/>
        <w:category>
          <w:name w:val="General"/>
          <w:gallery w:val="placeholder"/>
        </w:category>
        <w:types>
          <w:type w:val="bbPlcHdr"/>
        </w:types>
        <w:behaviors>
          <w:behavior w:val="content"/>
        </w:behaviors>
        <w:guid w:val="{55F1BE3D-5E6C-442E-8ADB-1CDC54DFE9C3}"/>
      </w:docPartPr>
      <w:docPartBody>
        <w:p w:rsidR="0053148D" w:rsidRDefault="0028304C">
          <w:r w:rsidRPr="00E42389">
            <w:rPr>
              <w:rStyle w:val="PlaceholderText"/>
            </w:rPr>
            <w:t>Date of Issue</w:t>
          </w:r>
        </w:p>
      </w:docPartBody>
    </w:docPart>
    <w:docPart>
      <w:docPartPr>
        <w:name w:val="24B0BFCCA6DA4800A3FAD0DD6FA312B1"/>
        <w:category>
          <w:name w:val="General"/>
          <w:gallery w:val="placeholder"/>
        </w:category>
        <w:types>
          <w:type w:val="bbPlcHdr"/>
        </w:types>
        <w:behaviors>
          <w:behavior w:val="content"/>
        </w:behaviors>
        <w:guid w:val="{504390F0-C571-42E0-B8E4-03DE971EBFFF}"/>
      </w:docPartPr>
      <w:docPartBody>
        <w:p w:rsidR="0053148D" w:rsidRDefault="0028304C">
          <w:r w:rsidRPr="00E42389">
            <w:rPr>
              <w:rStyle w:val="PlaceholderText"/>
            </w:rPr>
            <w:t>Date of Issue</w:t>
          </w:r>
        </w:p>
      </w:docPartBody>
    </w:docPart>
    <w:docPart>
      <w:docPartPr>
        <w:name w:val="067F9858AE5C497CBD6C98B0CD6A152E"/>
        <w:category>
          <w:name w:val="General"/>
          <w:gallery w:val="placeholder"/>
        </w:category>
        <w:types>
          <w:type w:val="bbPlcHdr"/>
        </w:types>
        <w:behaviors>
          <w:behavior w:val="content"/>
        </w:behaviors>
        <w:guid w:val="{81C99143-10B3-4748-A590-CF71C3FBF9E1}"/>
      </w:docPartPr>
      <w:docPartBody>
        <w:p w:rsidR="0053148D" w:rsidRDefault="0028304C">
          <w:r w:rsidRPr="00E42389">
            <w:rPr>
              <w:rStyle w:val="PlaceholderText"/>
            </w:rPr>
            <w:t>Date of Issue</w:t>
          </w:r>
        </w:p>
      </w:docPartBody>
    </w:docPart>
    <w:docPart>
      <w:docPartPr>
        <w:name w:val="728F55B5B1D349E8974F537808FC5C73"/>
        <w:category>
          <w:name w:val="General"/>
          <w:gallery w:val="placeholder"/>
        </w:category>
        <w:types>
          <w:type w:val="bbPlcHdr"/>
        </w:types>
        <w:behaviors>
          <w:behavior w:val="content"/>
        </w:behaviors>
        <w:guid w:val="{40C7054D-E3BA-4087-8DEA-FD9BD1662899}"/>
      </w:docPartPr>
      <w:docPartBody>
        <w:p w:rsidR="0053148D" w:rsidRDefault="0028304C">
          <w:r w:rsidRPr="00E42389">
            <w:rPr>
              <w:rStyle w:val="PlaceholderText"/>
            </w:rPr>
            <w:t>Date of Review</w:t>
          </w:r>
        </w:p>
      </w:docPartBody>
    </w:docPart>
    <w:docPart>
      <w:docPartPr>
        <w:name w:val="5BA4C0C1071B48FE8BDD78BAD97562C7"/>
        <w:category>
          <w:name w:val="General"/>
          <w:gallery w:val="placeholder"/>
        </w:category>
        <w:types>
          <w:type w:val="bbPlcHdr"/>
        </w:types>
        <w:behaviors>
          <w:behavior w:val="content"/>
        </w:behaviors>
        <w:guid w:val="{7CB7BAAC-3FF0-425C-9953-D2D830DAB6F9}"/>
      </w:docPartPr>
      <w:docPartBody>
        <w:p w:rsidR="0053148D" w:rsidRDefault="0028304C">
          <w:r w:rsidRPr="00E42389">
            <w:rPr>
              <w:rStyle w:val="PlaceholderText"/>
            </w:rPr>
            <w:t>Date of Review</w:t>
          </w:r>
        </w:p>
      </w:docPartBody>
    </w:docPart>
    <w:docPart>
      <w:docPartPr>
        <w:name w:val="F2762B45FD054500AD6528A0AE503AFC"/>
        <w:category>
          <w:name w:val="General"/>
          <w:gallery w:val="placeholder"/>
        </w:category>
        <w:types>
          <w:type w:val="bbPlcHdr"/>
        </w:types>
        <w:behaviors>
          <w:behavior w:val="content"/>
        </w:behaviors>
        <w:guid w:val="{07A94D66-7F0A-44A7-99DE-D746AEA93E5B}"/>
      </w:docPartPr>
      <w:docPartBody>
        <w:p w:rsidR="0053148D" w:rsidRDefault="0028304C">
          <w:r w:rsidRPr="00E42389">
            <w:rPr>
              <w:rStyle w:val="PlaceholderText"/>
            </w:rPr>
            <w:t>Policy Lead</w:t>
          </w:r>
        </w:p>
      </w:docPartBody>
    </w:docPart>
    <w:docPart>
      <w:docPartPr>
        <w:name w:val="9839EA0B55DB4C6EAA7E8A92A44C1075"/>
        <w:category>
          <w:name w:val="General"/>
          <w:gallery w:val="placeholder"/>
        </w:category>
        <w:types>
          <w:type w:val="bbPlcHdr"/>
        </w:types>
        <w:behaviors>
          <w:behavior w:val="content"/>
        </w:behaviors>
        <w:guid w:val="{9490D58E-2E87-4C10-84A5-3E91A9DA9B4F}"/>
      </w:docPartPr>
      <w:docPartBody>
        <w:p w:rsidR="0053148D" w:rsidRDefault="0028304C">
          <w:r w:rsidRPr="00E42389">
            <w:rPr>
              <w:rStyle w:val="PlaceholderText"/>
            </w:rPr>
            <w:t>Company Name</w:t>
          </w:r>
        </w:p>
      </w:docPartBody>
    </w:docPart>
    <w:docPart>
      <w:docPartPr>
        <w:name w:val="C99B041C80F94000BDA941749623C39D"/>
        <w:category>
          <w:name w:val="General"/>
          <w:gallery w:val="placeholder"/>
        </w:category>
        <w:types>
          <w:type w:val="bbPlcHdr"/>
        </w:types>
        <w:behaviors>
          <w:behavior w:val="content"/>
        </w:behaviors>
        <w:guid w:val="{0C79132C-13EA-4388-B4AD-82D9CA3676DD}"/>
      </w:docPartPr>
      <w:docPartBody>
        <w:p w:rsidR="0053148D" w:rsidRDefault="0028304C">
          <w:r w:rsidRPr="00E42389">
            <w:rPr>
              <w:rStyle w:val="PlaceholderText"/>
            </w:rPr>
            <w:t>Company Name</w:t>
          </w:r>
        </w:p>
      </w:docPartBody>
    </w:docPart>
    <w:docPart>
      <w:docPartPr>
        <w:name w:val="C9E4DAD5F0FB4FC98722F821DC032675"/>
        <w:category>
          <w:name w:val="General"/>
          <w:gallery w:val="placeholder"/>
        </w:category>
        <w:types>
          <w:type w:val="bbPlcHdr"/>
        </w:types>
        <w:behaviors>
          <w:behavior w:val="content"/>
        </w:behaviors>
        <w:guid w:val="{C670176A-A268-45A9-8E93-444D6FAFD045}"/>
      </w:docPartPr>
      <w:docPartBody>
        <w:p w:rsidR="0053148D" w:rsidRDefault="0028304C">
          <w:r w:rsidRPr="00E42389">
            <w:rPr>
              <w:rStyle w:val="PlaceholderText"/>
            </w:rPr>
            <w:t>Company Name</w:t>
          </w:r>
        </w:p>
      </w:docPartBody>
    </w:docPart>
    <w:docPart>
      <w:docPartPr>
        <w:name w:val="2BBDCD16D8AA4DD9817C69CF88ABF4D9"/>
        <w:category>
          <w:name w:val="General"/>
          <w:gallery w:val="placeholder"/>
        </w:category>
        <w:types>
          <w:type w:val="bbPlcHdr"/>
        </w:types>
        <w:behaviors>
          <w:behavior w:val="content"/>
        </w:behaviors>
        <w:guid w:val="{C99E2D1F-3D3C-44FA-B114-341FDF1FA705}"/>
      </w:docPartPr>
      <w:docPartBody>
        <w:p w:rsidR="0053148D" w:rsidRDefault="0028304C">
          <w:r w:rsidRPr="00E42389">
            <w:rPr>
              <w:rStyle w:val="PlaceholderText"/>
            </w:rPr>
            <w:t>Company Name</w:t>
          </w:r>
        </w:p>
      </w:docPartBody>
    </w:docPart>
    <w:docPart>
      <w:docPartPr>
        <w:name w:val="A4B7EFF39B0640CF933F23E7681A6A9B"/>
        <w:category>
          <w:name w:val="General"/>
          <w:gallery w:val="placeholder"/>
        </w:category>
        <w:types>
          <w:type w:val="bbPlcHdr"/>
        </w:types>
        <w:behaviors>
          <w:behavior w:val="content"/>
        </w:behaviors>
        <w:guid w:val="{50A9510D-F1EB-4045-BB08-13C0E730C5F8}"/>
      </w:docPartPr>
      <w:docPartBody>
        <w:p w:rsidR="0053148D" w:rsidRDefault="0028304C">
          <w:r w:rsidRPr="00E42389">
            <w:rPr>
              <w:rStyle w:val="PlaceholderText"/>
            </w:rPr>
            <w:t>Company Name</w:t>
          </w:r>
        </w:p>
      </w:docPartBody>
    </w:docPart>
    <w:docPart>
      <w:docPartPr>
        <w:name w:val="72BD270B3A7743D88EA6A6AA7C2D8A4A"/>
        <w:category>
          <w:name w:val="General"/>
          <w:gallery w:val="placeholder"/>
        </w:category>
        <w:types>
          <w:type w:val="bbPlcHdr"/>
        </w:types>
        <w:behaviors>
          <w:behavior w:val="content"/>
        </w:behaviors>
        <w:guid w:val="{523687BA-E26C-4C6A-88A6-1196578CA3A8}"/>
      </w:docPartPr>
      <w:docPartBody>
        <w:p w:rsidR="001B3A85" w:rsidRDefault="00317BC9">
          <w:r w:rsidRPr="00293FFE">
            <w:rPr>
              <w:rStyle w:val="PlaceholderText"/>
            </w:rPr>
            <w:t>Caldicott Guardian Name</w:t>
          </w:r>
        </w:p>
      </w:docPartBody>
    </w:docPart>
    <w:docPart>
      <w:docPartPr>
        <w:name w:val="F7901A72F3974463BD10248F20CE5A19"/>
        <w:category>
          <w:name w:val="General"/>
          <w:gallery w:val="placeholder"/>
        </w:category>
        <w:types>
          <w:type w:val="bbPlcHdr"/>
        </w:types>
        <w:behaviors>
          <w:behavior w:val="content"/>
        </w:behaviors>
        <w:guid w:val="{B2F519B5-6EC1-40CF-BB82-EE8A24F491D8}"/>
      </w:docPartPr>
      <w:docPartBody>
        <w:p w:rsidR="00AD0737" w:rsidRDefault="001B3A8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4C"/>
    <w:rsid w:val="000F4857"/>
    <w:rsid w:val="001B3A85"/>
    <w:rsid w:val="0028304C"/>
    <w:rsid w:val="00317BC9"/>
    <w:rsid w:val="0053148D"/>
    <w:rsid w:val="00610AD1"/>
    <w:rsid w:val="008417C0"/>
    <w:rsid w:val="00AD0737"/>
    <w:rsid w:val="00F0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7b3141b7-8fe7-4807-b350-118ebe62f37c-638114580480000000</MigrationWizIdVersion>
    <lcf76f155ced4ddcb4097134ff3c332f0 xmlns="56237ad3-8718-4af8-998e-3036ac3599be" xsi:nil="true"/>
    <MigrationWizId xmlns="56237ad3-8718-4af8-998e-3036ac3599be">7b3141b7-8fe7-4807-b350-118ebe62f37c</MigrationWizId>
    <MigrationWizIdPermissions xmlns="56237ad3-8718-4af8-998e-3036ac359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FD73B78E-0B73-4B6F-9F56-65A95D3A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4584</Words>
  <Characters>25584</Characters>
  <Application>Microsoft Office Word</Application>
  <DocSecurity>0</DocSecurity>
  <Lines>544</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DCG004 - Confidentiality Policy</dc:title>
  <dc:subject/>
  <dc:creator>Imogen Huxford</dc:creator>
  <cp:keywords/>
  <dc:description/>
  <cp:lastModifiedBy>Rachael Dowson-Wallace</cp:lastModifiedBy>
  <cp:revision>2</cp:revision>
  <cp:lastPrinted>2020-07-26T06:21:00Z</cp:lastPrinted>
  <dcterms:created xsi:type="dcterms:W3CDTF">2023-10-25T12:54:00Z</dcterms:created>
  <dcterms:modified xsi:type="dcterms:W3CDTF">2023-10-25T12:54:00Z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3ca63fc0706ec4f2e4b35623436ee8b86c88b52cbfb20cbab928c7e5504f5245</vt:lpwstr>
  </property>
</Properties>
</file>