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color w:val="auto"/>
        </w:rPr>
        <w:alias w:val="Company Logo"/>
        <w:tag w:val="HD:1.187.0.0:b7dd68e4-285b-4606-80b8-03c23b16ae84"/>
        <w:id w:val="-1170176521"/>
        <w:placeholder>
          <w:docPart w:val="6B53C2F5EE164C4F8D4DC39C370043B4"/>
        </w:placeholder>
        <w:showingPlcHdr/>
        <w:picture/>
      </w:sdtPr>
      <w:sdtEndPr/>
      <w:sdtContent>
        <w:p w14:paraId="0ED9BD95" w14:textId="3B75437C" w:rsidR="00F26800" w:rsidRPr="002B681F" w:rsidRDefault="00D97F91" w:rsidP="00D97F91">
          <w:pPr>
            <w:jc w:val="center"/>
            <w:rPr>
              <w:rFonts w:ascii="Open Sans" w:hAnsi="Open Sans" w:cs="Open Sans"/>
              <w:color w:val="auto"/>
            </w:rPr>
          </w:pPr>
          <w:r>
            <w:rPr>
              <w:rFonts w:ascii="Open Sans" w:hAnsi="Open Sans" w:cs="Open Sans"/>
              <w:noProof/>
              <w:color w:val="auto"/>
            </w:rPr>
            <w:drawing>
              <wp:inline distT="0" distB="0" distL="0" distR="0" wp14:anchorId="577A3407" wp14:editId="43D142C8">
                <wp:extent cx="4533900" cy="15259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371" cy="1526400"/>
                        </a:xfrm>
                        <a:prstGeom prst="rect">
                          <a:avLst/>
                        </a:prstGeom>
                        <a:noFill/>
                        <a:ln>
                          <a:noFill/>
                        </a:ln>
                      </pic:spPr>
                    </pic:pic>
                  </a:graphicData>
                </a:graphic>
              </wp:inline>
            </w:drawing>
          </w:r>
        </w:p>
      </w:sdtContent>
    </w:sdt>
    <w:p w14:paraId="524AAC1C" w14:textId="77777777" w:rsidR="00F26800" w:rsidRPr="002B681F" w:rsidRDefault="00F26800" w:rsidP="002E2C26">
      <w:pPr>
        <w:rPr>
          <w:rFonts w:ascii="Open Sans" w:hAnsi="Open Sans" w:cs="Open Sans"/>
          <w:color w:val="auto"/>
        </w:rPr>
      </w:pPr>
    </w:p>
    <w:p w14:paraId="08FFD423" w14:textId="77777777" w:rsidR="00D056CD" w:rsidRDefault="00D056CD" w:rsidP="00D056CD">
      <w:pPr>
        <w:spacing w:after="0"/>
        <w:jc w:val="center"/>
        <w:rPr>
          <w:rFonts w:ascii="Open Sans" w:hAnsi="Open Sans" w:cs="Open Sans"/>
          <w:b/>
          <w:color w:val="264467"/>
          <w:sz w:val="96"/>
        </w:rPr>
      </w:pPr>
      <w:r>
        <w:rPr>
          <w:rFonts w:ascii="Open Sans" w:hAnsi="Open Sans" w:cs="Open Sans"/>
          <w:b/>
          <w:color w:val="264467"/>
          <w:sz w:val="96"/>
        </w:rPr>
        <w:t>Aseptic Technique Policy</w:t>
      </w:r>
    </w:p>
    <w:p w14:paraId="5979FA76" w14:textId="77777777" w:rsidR="00710215" w:rsidRPr="00710215" w:rsidRDefault="00710215" w:rsidP="00D056CD">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664a26a3-1c08-4539-9f97-a77152d84e41"/>
        <w:id w:val="-808553224"/>
        <w:placeholder>
          <w:docPart w:val="E3E3897CACDA4CE6B6004FB38702A2B2"/>
        </w:placeholder>
      </w:sdtPr>
      <w:sdtEndPr/>
      <w:sdtContent>
        <w:p w14:paraId="378A601A" w14:textId="20FD6F53" w:rsidR="00D056CD" w:rsidRPr="00710215" w:rsidRDefault="00D5291C" w:rsidP="00D056CD">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D5291C">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52959A1D"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247"/>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710215" w:rsidRPr="00C90E70" w14:paraId="2923C209" w14:textId="77777777" w:rsidTr="00710215">
        <w:tc>
          <w:tcPr>
            <w:tcW w:w="1980" w:type="dxa"/>
            <w:shd w:val="clear" w:color="auto" w:fill="F2F2F2" w:themeFill="background1" w:themeFillShade="F2"/>
            <w:vAlign w:val="center"/>
          </w:tcPr>
          <w:p w14:paraId="50462E1D" w14:textId="77777777" w:rsidR="00710215" w:rsidRPr="00C90E70" w:rsidRDefault="00710215" w:rsidP="00710215">
            <w:pPr>
              <w:rPr>
                <w:rFonts w:ascii="Open Sans" w:hAnsi="Open Sans" w:cs="Open Sans"/>
              </w:rPr>
            </w:pPr>
            <w:r w:rsidRPr="00C90E70">
              <w:rPr>
                <w:rFonts w:ascii="Open Sans" w:hAnsi="Open Sans" w:cs="Open Sans"/>
              </w:rPr>
              <w:t>Policy Lead:</w:t>
            </w:r>
          </w:p>
        </w:tc>
        <w:sdt>
          <w:sdtPr>
            <w:rPr>
              <w:rFonts w:ascii="Open Sans" w:hAnsi="Open Sans" w:cs="Open Sans"/>
            </w:rPr>
            <w:tag w:val="HD:1.187.0.0:5f094303-12fa-420c-ac13-28963d8a2a50"/>
            <w:id w:val="275917870"/>
            <w:placeholder>
              <w:docPart w:val="CE704D2A9E9D4B65B9CD510B3B0F1CB7"/>
            </w:placeholder>
          </w:sdtPr>
          <w:sdtEndPr/>
          <w:sdtContent>
            <w:tc>
              <w:tcPr>
                <w:tcW w:w="3265" w:type="dxa"/>
                <w:vAlign w:val="center"/>
              </w:tcPr>
              <w:p w14:paraId="2F63F7BC" w14:textId="358585A4" w:rsidR="00710215" w:rsidRPr="00C90E70" w:rsidRDefault="00D5291C" w:rsidP="00710215">
                <w:pPr>
                  <w:rPr>
                    <w:rFonts w:ascii="Open Sans" w:hAnsi="Open Sans" w:cs="Open Sans"/>
                  </w:rPr>
                </w:pPr>
                <w:r>
                  <w:rPr>
                    <w:rFonts w:ascii="Open Sans" w:hAnsi="Open Sans" w:cs="Open Sans"/>
                    <w:noProof/>
                  </w:rPr>
                  <w:t>[</w:t>
                </w:r>
                <w:r w:rsidRPr="00D5291C">
                  <w:rPr>
                    <w:rFonts w:ascii="Open Sans" w:hAnsi="Open Sans" w:cs="Open Sans"/>
                    <w:noProof/>
                    <w:color w:val="0000FF"/>
                  </w:rPr>
                  <w:t>Policy Lead</w:t>
                </w:r>
                <w:r>
                  <w:rPr>
                    <w:rFonts w:ascii="Open Sans" w:hAnsi="Open Sans" w:cs="Open Sans"/>
                    <w:noProof/>
                  </w:rPr>
                  <w:t>]</w:t>
                </w:r>
              </w:p>
            </w:tc>
          </w:sdtContent>
        </w:sdt>
      </w:tr>
      <w:tr w:rsidR="00710215" w:rsidRPr="00C90E70" w14:paraId="0E301BB8" w14:textId="77777777" w:rsidTr="00710215">
        <w:tc>
          <w:tcPr>
            <w:tcW w:w="1980" w:type="dxa"/>
            <w:shd w:val="clear" w:color="auto" w:fill="F2F2F2" w:themeFill="background1" w:themeFillShade="F2"/>
            <w:vAlign w:val="center"/>
          </w:tcPr>
          <w:p w14:paraId="5BD7ABD5" w14:textId="77777777" w:rsidR="00710215" w:rsidRPr="00C90E70" w:rsidRDefault="00710215" w:rsidP="00710215">
            <w:pPr>
              <w:rPr>
                <w:rFonts w:ascii="Open Sans" w:hAnsi="Open Sans" w:cs="Open Sans"/>
              </w:rPr>
            </w:pPr>
            <w:r w:rsidRPr="00C90E70">
              <w:rPr>
                <w:rFonts w:ascii="Open Sans" w:hAnsi="Open Sans" w:cs="Open Sans"/>
              </w:rPr>
              <w:t>Version No.</w:t>
            </w:r>
          </w:p>
        </w:tc>
        <w:tc>
          <w:tcPr>
            <w:tcW w:w="3265" w:type="dxa"/>
            <w:vAlign w:val="center"/>
          </w:tcPr>
          <w:p w14:paraId="7BE7FF0A" w14:textId="77777777" w:rsidR="00710215" w:rsidRPr="00C90E70" w:rsidRDefault="00710215" w:rsidP="00710215">
            <w:pPr>
              <w:rPr>
                <w:rFonts w:ascii="Open Sans" w:hAnsi="Open Sans" w:cs="Open Sans"/>
              </w:rPr>
            </w:pPr>
            <w:r w:rsidRPr="00C90E70">
              <w:rPr>
                <w:rFonts w:ascii="Open Sans" w:hAnsi="Open Sans" w:cs="Open Sans"/>
              </w:rPr>
              <w:t>1</w:t>
            </w:r>
          </w:p>
        </w:tc>
      </w:tr>
      <w:tr w:rsidR="00710215" w:rsidRPr="00C90E70" w14:paraId="3D655684" w14:textId="77777777" w:rsidTr="00710215">
        <w:tc>
          <w:tcPr>
            <w:tcW w:w="1980" w:type="dxa"/>
            <w:shd w:val="clear" w:color="auto" w:fill="F2F2F2" w:themeFill="background1" w:themeFillShade="F2"/>
            <w:vAlign w:val="center"/>
          </w:tcPr>
          <w:p w14:paraId="66A429B3" w14:textId="77777777" w:rsidR="00710215" w:rsidRPr="00C90E70" w:rsidRDefault="00710215" w:rsidP="00710215">
            <w:pPr>
              <w:rPr>
                <w:rFonts w:ascii="Open Sans" w:hAnsi="Open Sans" w:cs="Open Sans"/>
              </w:rPr>
            </w:pPr>
            <w:r w:rsidRPr="00C90E70">
              <w:rPr>
                <w:rFonts w:ascii="Open Sans" w:hAnsi="Open Sans" w:cs="Open Sans"/>
              </w:rPr>
              <w:t>Date of Issue:</w:t>
            </w:r>
          </w:p>
        </w:tc>
        <w:sdt>
          <w:sdtPr>
            <w:rPr>
              <w:rFonts w:ascii="Open Sans" w:hAnsi="Open Sans" w:cs="Open Sans"/>
            </w:rPr>
            <w:tag w:val="HD:1.187.0.0:44ca9f2a-7a0f-4cae-b669-3a5a4ce0e576"/>
            <w:id w:val="-1764746522"/>
            <w:placeholder>
              <w:docPart w:val="812467C8CF3F4BF7AB31156CADD78835"/>
            </w:placeholder>
          </w:sdtPr>
          <w:sdtEndPr/>
          <w:sdtContent>
            <w:tc>
              <w:tcPr>
                <w:tcW w:w="3265" w:type="dxa"/>
                <w:vAlign w:val="center"/>
              </w:tcPr>
              <w:p w14:paraId="42E09949" w14:textId="1ABBF4FE" w:rsidR="00710215" w:rsidRPr="00C90E70" w:rsidRDefault="00D5291C" w:rsidP="00710215">
                <w:pPr>
                  <w:rPr>
                    <w:rFonts w:ascii="Open Sans" w:hAnsi="Open Sans" w:cs="Open Sans"/>
                  </w:rPr>
                </w:pPr>
                <w:r>
                  <w:rPr>
                    <w:rFonts w:ascii="Open Sans" w:hAnsi="Open Sans" w:cs="Open Sans"/>
                    <w:noProof/>
                  </w:rPr>
                  <w:t>[</w:t>
                </w:r>
                <w:r w:rsidRPr="00D5291C">
                  <w:rPr>
                    <w:rFonts w:ascii="Open Sans" w:hAnsi="Open Sans" w:cs="Open Sans"/>
                    <w:noProof/>
                    <w:color w:val="0000FF"/>
                  </w:rPr>
                  <w:t>Date of Issue</w:t>
                </w:r>
                <w:r>
                  <w:rPr>
                    <w:rFonts w:ascii="Open Sans" w:hAnsi="Open Sans" w:cs="Open Sans"/>
                    <w:noProof/>
                  </w:rPr>
                  <w:t>]</w:t>
                </w:r>
              </w:p>
            </w:tc>
          </w:sdtContent>
        </w:sdt>
      </w:tr>
      <w:tr w:rsidR="00710215" w:rsidRPr="00C90E70" w14:paraId="1F4F008C" w14:textId="77777777" w:rsidTr="00710215">
        <w:tc>
          <w:tcPr>
            <w:tcW w:w="1980" w:type="dxa"/>
            <w:shd w:val="clear" w:color="auto" w:fill="F2F2F2" w:themeFill="background1" w:themeFillShade="F2"/>
            <w:vAlign w:val="center"/>
          </w:tcPr>
          <w:p w14:paraId="73B4ED5A" w14:textId="77777777" w:rsidR="00710215" w:rsidRPr="00C90E70" w:rsidRDefault="00710215" w:rsidP="00710215">
            <w:pPr>
              <w:rPr>
                <w:rFonts w:ascii="Open Sans" w:hAnsi="Open Sans" w:cs="Open Sans"/>
              </w:rPr>
            </w:pPr>
            <w:r w:rsidRPr="00C90E70">
              <w:rPr>
                <w:rFonts w:ascii="Open Sans" w:hAnsi="Open Sans" w:cs="Open Sans"/>
              </w:rPr>
              <w:t>Date for Review:</w:t>
            </w:r>
          </w:p>
        </w:tc>
        <w:sdt>
          <w:sdtPr>
            <w:rPr>
              <w:rFonts w:ascii="Open Sans" w:hAnsi="Open Sans" w:cs="Open Sans"/>
            </w:rPr>
            <w:tag w:val="HD:1.187.0.0:1a9c4f3e-85de-41df-8eee-255dfdf53ca8"/>
            <w:id w:val="938643375"/>
            <w:placeholder>
              <w:docPart w:val="3377C25BAAF94C7494D7327D515C6C79"/>
            </w:placeholder>
          </w:sdtPr>
          <w:sdtEndPr/>
          <w:sdtContent>
            <w:tc>
              <w:tcPr>
                <w:tcW w:w="3265" w:type="dxa"/>
                <w:vAlign w:val="center"/>
              </w:tcPr>
              <w:p w14:paraId="7F028902" w14:textId="1D5A5E25" w:rsidR="00710215" w:rsidRPr="00C90E70" w:rsidRDefault="00D5291C" w:rsidP="00710215">
                <w:pPr>
                  <w:rPr>
                    <w:rFonts w:ascii="Open Sans" w:hAnsi="Open Sans" w:cs="Open Sans"/>
                  </w:rPr>
                </w:pPr>
                <w:r>
                  <w:rPr>
                    <w:rFonts w:ascii="Open Sans" w:hAnsi="Open Sans" w:cs="Open Sans"/>
                    <w:noProof/>
                  </w:rPr>
                  <w:t>[</w:t>
                </w:r>
                <w:r w:rsidRPr="00D5291C">
                  <w:rPr>
                    <w:rFonts w:ascii="Open Sans" w:hAnsi="Open Sans" w:cs="Open Sans"/>
                    <w:noProof/>
                    <w:color w:val="0000FF"/>
                  </w:rPr>
                  <w:t>Date of Review</w:t>
                </w:r>
                <w:r>
                  <w:rPr>
                    <w:rFonts w:ascii="Open Sans" w:hAnsi="Open Sans" w:cs="Open Sans"/>
                    <w:noProof/>
                  </w:rPr>
                  <w:t>]</w:t>
                </w:r>
              </w:p>
            </w:tc>
          </w:sdtContent>
        </w:sdt>
      </w:tr>
    </w:tbl>
    <w:p w14:paraId="34D4C736" w14:textId="77777777" w:rsidR="00F26800" w:rsidRPr="002B681F" w:rsidRDefault="00F26800" w:rsidP="002E2C26">
      <w:pPr>
        <w:rPr>
          <w:rFonts w:ascii="Open Sans" w:hAnsi="Open Sans" w:cs="Open Sans"/>
          <w:color w:val="auto"/>
        </w:rPr>
      </w:pPr>
    </w:p>
    <w:p w14:paraId="61EB3FFA" w14:textId="77777777" w:rsidR="00F26800" w:rsidRPr="002B681F" w:rsidRDefault="00F26800" w:rsidP="002E2C26">
      <w:pPr>
        <w:rPr>
          <w:rFonts w:ascii="Open Sans" w:hAnsi="Open Sans" w:cs="Open Sans"/>
          <w:color w:val="auto"/>
        </w:rPr>
      </w:pPr>
    </w:p>
    <w:p w14:paraId="1902401A"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0661D69A" w14:textId="77777777" w:rsidR="00F26800" w:rsidRPr="002B681F" w:rsidRDefault="00F26800" w:rsidP="002E2C26">
      <w:pPr>
        <w:rPr>
          <w:rFonts w:ascii="Open Sans" w:hAnsi="Open Sans" w:cs="Open Sans"/>
          <w:color w:val="auto"/>
        </w:rPr>
      </w:pPr>
    </w:p>
    <w:p w14:paraId="72728B6A" w14:textId="77777777" w:rsidR="00BD44F8" w:rsidRPr="002B681F" w:rsidRDefault="00BD44F8" w:rsidP="002E2C26">
      <w:pPr>
        <w:rPr>
          <w:rFonts w:ascii="Open Sans" w:hAnsi="Open Sans" w:cs="Open Sans"/>
          <w:color w:val="auto"/>
        </w:rPr>
      </w:pPr>
    </w:p>
    <w:p w14:paraId="2F5B4790" w14:textId="77777777" w:rsidR="00710215" w:rsidRDefault="00710215" w:rsidP="002E2C26">
      <w:pPr>
        <w:rPr>
          <w:rFonts w:ascii="Open Sans" w:hAnsi="Open Sans" w:cs="Open Sans"/>
          <w:color w:val="auto"/>
        </w:rPr>
      </w:pPr>
    </w:p>
    <w:p w14:paraId="5BD52212" w14:textId="77777777" w:rsidR="00710215" w:rsidRDefault="00710215" w:rsidP="002E2C26">
      <w:pPr>
        <w:rPr>
          <w:rFonts w:ascii="Open Sans" w:hAnsi="Open Sans" w:cs="Open Sans"/>
          <w:color w:val="auto"/>
        </w:rPr>
      </w:pPr>
    </w:p>
    <w:p w14:paraId="1A8906AD" w14:textId="77777777" w:rsidR="00710215" w:rsidRDefault="00710215" w:rsidP="002E2C26">
      <w:pPr>
        <w:rPr>
          <w:rFonts w:ascii="Open Sans" w:hAnsi="Open Sans" w:cs="Open Sans"/>
          <w:color w:val="auto"/>
        </w:rPr>
      </w:pPr>
    </w:p>
    <w:p w14:paraId="15D1D12C" w14:textId="77777777" w:rsidR="00710215" w:rsidRDefault="00710215" w:rsidP="002E2C26">
      <w:pPr>
        <w:rPr>
          <w:rFonts w:ascii="Open Sans" w:hAnsi="Open Sans" w:cs="Open Sans"/>
          <w:color w:val="auto"/>
        </w:rPr>
      </w:pPr>
    </w:p>
    <w:p w14:paraId="4A438AE3" w14:textId="77777777" w:rsidR="00710215" w:rsidRDefault="00710215" w:rsidP="002E2C26">
      <w:pPr>
        <w:rPr>
          <w:rFonts w:ascii="Open Sans" w:hAnsi="Open Sans" w:cs="Open Sans"/>
          <w:color w:val="auto"/>
        </w:rPr>
      </w:pPr>
    </w:p>
    <w:p w14:paraId="1D084D85" w14:textId="77777777" w:rsidR="00D5291C" w:rsidRDefault="00D5291C" w:rsidP="002E2C26">
      <w:pPr>
        <w:rPr>
          <w:rFonts w:ascii="Open Sans" w:hAnsi="Open Sans" w:cs="Open Sans"/>
          <w:color w:val="auto"/>
        </w:rPr>
      </w:pPr>
    </w:p>
    <w:p w14:paraId="316DDFB3" w14:textId="77777777" w:rsidR="00D5291C" w:rsidRDefault="00D5291C" w:rsidP="002E2C26">
      <w:pPr>
        <w:rPr>
          <w:rFonts w:ascii="Open Sans" w:hAnsi="Open Sans" w:cs="Open Sans"/>
          <w:color w:val="auto"/>
        </w:rPr>
      </w:pPr>
    </w:p>
    <w:p w14:paraId="1C3402EE" w14:textId="5C22569A" w:rsidR="00DA5468" w:rsidRPr="002B681F" w:rsidRDefault="00DA5468" w:rsidP="002E2C26">
      <w:pPr>
        <w:rPr>
          <w:rFonts w:ascii="Open Sans" w:hAnsi="Open Sans" w:cs="Open Sans"/>
          <w:color w:val="auto"/>
        </w:rPr>
      </w:pPr>
      <w:r w:rsidRPr="002B681F">
        <w:rPr>
          <w:rFonts w:ascii="Open Sans" w:hAnsi="Open Sans" w:cs="Open Sans"/>
          <w:color w:val="auto"/>
        </w:rPr>
        <w:t xml:space="preserve">                                                                    </w:t>
      </w:r>
    </w:p>
    <w:p w14:paraId="5F272438"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BA5624A" w14:textId="77777777" w:rsidR="00CC349F" w:rsidRDefault="00877C5C">
      <w:pPr>
        <w:pStyle w:val="TOC1"/>
        <w:tabs>
          <w:tab w:val="left" w:pos="440"/>
          <w:tab w:val="right" w:leader="dot" w:pos="9016"/>
        </w:tabs>
        <w:rPr>
          <w:rFonts w:eastAsiaTheme="minorEastAsia"/>
          <w:b w:val="0"/>
          <w:noProof/>
          <w:color w:val="auto"/>
          <w:lang w:eastAsia="en-GB"/>
        </w:rPr>
      </w:pPr>
      <w:r w:rsidRPr="00B77FA6">
        <w:rPr>
          <w:rFonts w:ascii="Open Sans" w:hAnsi="Open Sans" w:cs="Open Sans"/>
          <w:color w:val="264467"/>
        </w:rPr>
        <w:fldChar w:fldCharType="begin"/>
      </w:r>
      <w:r w:rsidRPr="00B77FA6">
        <w:rPr>
          <w:rFonts w:ascii="Open Sans" w:hAnsi="Open Sans" w:cs="Open Sans"/>
          <w:color w:val="264467"/>
        </w:rPr>
        <w:instrText xml:space="preserve"> TOC \o "1-3" \h \z \u </w:instrText>
      </w:r>
      <w:r w:rsidRPr="00B77FA6">
        <w:rPr>
          <w:rFonts w:ascii="Open Sans" w:hAnsi="Open Sans" w:cs="Open Sans"/>
          <w:color w:val="264467"/>
        </w:rPr>
        <w:fldChar w:fldCharType="separate"/>
      </w:r>
      <w:hyperlink w:anchor="_Toc104881810" w:history="1">
        <w:r w:rsidR="00CC349F" w:rsidRPr="00532F7B">
          <w:rPr>
            <w:rStyle w:val="Hyperlink"/>
            <w:noProof/>
          </w:rPr>
          <w:t>1.</w:t>
        </w:r>
        <w:r w:rsidR="00CC349F">
          <w:rPr>
            <w:rFonts w:eastAsiaTheme="minorEastAsia"/>
            <w:b w:val="0"/>
            <w:noProof/>
            <w:color w:val="auto"/>
            <w:lang w:eastAsia="en-GB"/>
          </w:rPr>
          <w:tab/>
        </w:r>
        <w:r w:rsidR="00CC349F" w:rsidRPr="00532F7B">
          <w:rPr>
            <w:rStyle w:val="Hyperlink"/>
            <w:noProof/>
          </w:rPr>
          <w:t>Introduction</w:t>
        </w:r>
        <w:r w:rsidR="00CC349F">
          <w:rPr>
            <w:noProof/>
            <w:webHidden/>
          </w:rPr>
          <w:tab/>
        </w:r>
        <w:r w:rsidR="00CC349F">
          <w:rPr>
            <w:noProof/>
            <w:webHidden/>
          </w:rPr>
          <w:fldChar w:fldCharType="begin"/>
        </w:r>
        <w:r w:rsidR="00CC349F">
          <w:rPr>
            <w:noProof/>
            <w:webHidden/>
          </w:rPr>
          <w:instrText xml:space="preserve"> PAGEREF _Toc104881810 \h </w:instrText>
        </w:r>
        <w:r w:rsidR="00CC349F">
          <w:rPr>
            <w:noProof/>
            <w:webHidden/>
          </w:rPr>
        </w:r>
        <w:r w:rsidR="00CC349F">
          <w:rPr>
            <w:noProof/>
            <w:webHidden/>
          </w:rPr>
          <w:fldChar w:fldCharType="separate"/>
        </w:r>
        <w:r w:rsidR="00CC349F">
          <w:rPr>
            <w:noProof/>
            <w:webHidden/>
          </w:rPr>
          <w:t>3</w:t>
        </w:r>
        <w:r w:rsidR="00CC349F">
          <w:rPr>
            <w:noProof/>
            <w:webHidden/>
          </w:rPr>
          <w:fldChar w:fldCharType="end"/>
        </w:r>
      </w:hyperlink>
    </w:p>
    <w:p w14:paraId="12B8AAF2"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1" w:history="1">
        <w:r w:rsidR="00CC349F" w:rsidRPr="00532F7B">
          <w:rPr>
            <w:rStyle w:val="Hyperlink"/>
            <w:noProof/>
          </w:rPr>
          <w:t>2.</w:t>
        </w:r>
        <w:r w:rsidR="00CC349F">
          <w:rPr>
            <w:rFonts w:eastAsiaTheme="minorEastAsia"/>
            <w:b w:val="0"/>
            <w:noProof/>
            <w:color w:val="auto"/>
            <w:lang w:eastAsia="en-GB"/>
          </w:rPr>
          <w:tab/>
        </w:r>
        <w:r w:rsidR="00CC349F" w:rsidRPr="00532F7B">
          <w:rPr>
            <w:rStyle w:val="Hyperlink"/>
            <w:noProof/>
          </w:rPr>
          <w:t>Policy Statement</w:t>
        </w:r>
        <w:r w:rsidR="00CC349F">
          <w:rPr>
            <w:noProof/>
            <w:webHidden/>
          </w:rPr>
          <w:tab/>
        </w:r>
        <w:r w:rsidR="00CC349F">
          <w:rPr>
            <w:noProof/>
            <w:webHidden/>
          </w:rPr>
          <w:fldChar w:fldCharType="begin"/>
        </w:r>
        <w:r w:rsidR="00CC349F">
          <w:rPr>
            <w:noProof/>
            <w:webHidden/>
          </w:rPr>
          <w:instrText xml:space="preserve"> PAGEREF _Toc104881811 \h </w:instrText>
        </w:r>
        <w:r w:rsidR="00CC349F">
          <w:rPr>
            <w:noProof/>
            <w:webHidden/>
          </w:rPr>
        </w:r>
        <w:r w:rsidR="00CC349F">
          <w:rPr>
            <w:noProof/>
            <w:webHidden/>
          </w:rPr>
          <w:fldChar w:fldCharType="separate"/>
        </w:r>
        <w:r w:rsidR="00CC349F">
          <w:rPr>
            <w:noProof/>
            <w:webHidden/>
          </w:rPr>
          <w:t>3</w:t>
        </w:r>
        <w:r w:rsidR="00CC349F">
          <w:rPr>
            <w:noProof/>
            <w:webHidden/>
          </w:rPr>
          <w:fldChar w:fldCharType="end"/>
        </w:r>
      </w:hyperlink>
    </w:p>
    <w:p w14:paraId="5182B558"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2" w:history="1">
        <w:r w:rsidR="00CC349F" w:rsidRPr="00532F7B">
          <w:rPr>
            <w:rStyle w:val="Hyperlink"/>
            <w:noProof/>
          </w:rPr>
          <w:t>3.</w:t>
        </w:r>
        <w:r w:rsidR="00CC349F">
          <w:rPr>
            <w:rFonts w:eastAsiaTheme="minorEastAsia"/>
            <w:b w:val="0"/>
            <w:noProof/>
            <w:color w:val="auto"/>
            <w:lang w:eastAsia="en-GB"/>
          </w:rPr>
          <w:tab/>
        </w:r>
        <w:r w:rsidR="00CC349F" w:rsidRPr="00532F7B">
          <w:rPr>
            <w:rStyle w:val="Hyperlink"/>
            <w:noProof/>
          </w:rPr>
          <w:t>Scope</w:t>
        </w:r>
        <w:r w:rsidR="00CC349F">
          <w:rPr>
            <w:noProof/>
            <w:webHidden/>
          </w:rPr>
          <w:tab/>
        </w:r>
        <w:r w:rsidR="00CC349F">
          <w:rPr>
            <w:noProof/>
            <w:webHidden/>
          </w:rPr>
          <w:fldChar w:fldCharType="begin"/>
        </w:r>
        <w:r w:rsidR="00CC349F">
          <w:rPr>
            <w:noProof/>
            <w:webHidden/>
          </w:rPr>
          <w:instrText xml:space="preserve"> PAGEREF _Toc104881812 \h </w:instrText>
        </w:r>
        <w:r w:rsidR="00CC349F">
          <w:rPr>
            <w:noProof/>
            <w:webHidden/>
          </w:rPr>
        </w:r>
        <w:r w:rsidR="00CC349F">
          <w:rPr>
            <w:noProof/>
            <w:webHidden/>
          </w:rPr>
          <w:fldChar w:fldCharType="separate"/>
        </w:r>
        <w:r w:rsidR="00CC349F">
          <w:rPr>
            <w:noProof/>
            <w:webHidden/>
          </w:rPr>
          <w:t>3</w:t>
        </w:r>
        <w:r w:rsidR="00CC349F">
          <w:rPr>
            <w:noProof/>
            <w:webHidden/>
          </w:rPr>
          <w:fldChar w:fldCharType="end"/>
        </w:r>
      </w:hyperlink>
    </w:p>
    <w:p w14:paraId="1E73C9FC"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3" w:history="1">
        <w:r w:rsidR="00CC349F" w:rsidRPr="00532F7B">
          <w:rPr>
            <w:rStyle w:val="Hyperlink"/>
            <w:noProof/>
          </w:rPr>
          <w:t>4.</w:t>
        </w:r>
        <w:r w:rsidR="00CC349F">
          <w:rPr>
            <w:rFonts w:eastAsiaTheme="minorEastAsia"/>
            <w:b w:val="0"/>
            <w:noProof/>
            <w:color w:val="auto"/>
            <w:lang w:eastAsia="en-GB"/>
          </w:rPr>
          <w:tab/>
        </w:r>
        <w:r w:rsidR="00CC349F" w:rsidRPr="00532F7B">
          <w:rPr>
            <w:rStyle w:val="Hyperlink"/>
            <w:noProof/>
          </w:rPr>
          <w:t>Definitions</w:t>
        </w:r>
        <w:r w:rsidR="00CC349F">
          <w:rPr>
            <w:noProof/>
            <w:webHidden/>
          </w:rPr>
          <w:tab/>
        </w:r>
        <w:r w:rsidR="00CC349F">
          <w:rPr>
            <w:noProof/>
            <w:webHidden/>
          </w:rPr>
          <w:fldChar w:fldCharType="begin"/>
        </w:r>
        <w:r w:rsidR="00CC349F">
          <w:rPr>
            <w:noProof/>
            <w:webHidden/>
          </w:rPr>
          <w:instrText xml:space="preserve"> PAGEREF _Toc104881813 \h </w:instrText>
        </w:r>
        <w:r w:rsidR="00CC349F">
          <w:rPr>
            <w:noProof/>
            <w:webHidden/>
          </w:rPr>
        </w:r>
        <w:r w:rsidR="00CC349F">
          <w:rPr>
            <w:noProof/>
            <w:webHidden/>
          </w:rPr>
          <w:fldChar w:fldCharType="separate"/>
        </w:r>
        <w:r w:rsidR="00CC349F">
          <w:rPr>
            <w:noProof/>
            <w:webHidden/>
          </w:rPr>
          <w:t>3</w:t>
        </w:r>
        <w:r w:rsidR="00CC349F">
          <w:rPr>
            <w:noProof/>
            <w:webHidden/>
          </w:rPr>
          <w:fldChar w:fldCharType="end"/>
        </w:r>
      </w:hyperlink>
    </w:p>
    <w:p w14:paraId="5B189A4B"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4" w:history="1">
        <w:r w:rsidR="00CC349F" w:rsidRPr="00532F7B">
          <w:rPr>
            <w:rStyle w:val="Hyperlink"/>
            <w:noProof/>
          </w:rPr>
          <w:t>5.</w:t>
        </w:r>
        <w:r w:rsidR="00CC349F">
          <w:rPr>
            <w:rFonts w:eastAsiaTheme="minorEastAsia"/>
            <w:b w:val="0"/>
            <w:noProof/>
            <w:color w:val="auto"/>
            <w:lang w:eastAsia="en-GB"/>
          </w:rPr>
          <w:tab/>
        </w:r>
        <w:r w:rsidR="00CC349F" w:rsidRPr="00532F7B">
          <w:rPr>
            <w:rStyle w:val="Hyperlink"/>
            <w:noProof/>
          </w:rPr>
          <w:t>Procedures</w:t>
        </w:r>
        <w:r w:rsidR="00CC349F">
          <w:rPr>
            <w:noProof/>
            <w:webHidden/>
          </w:rPr>
          <w:tab/>
        </w:r>
        <w:r w:rsidR="00CC349F">
          <w:rPr>
            <w:noProof/>
            <w:webHidden/>
          </w:rPr>
          <w:fldChar w:fldCharType="begin"/>
        </w:r>
        <w:r w:rsidR="00CC349F">
          <w:rPr>
            <w:noProof/>
            <w:webHidden/>
          </w:rPr>
          <w:instrText xml:space="preserve"> PAGEREF _Toc104881814 \h </w:instrText>
        </w:r>
        <w:r w:rsidR="00CC349F">
          <w:rPr>
            <w:noProof/>
            <w:webHidden/>
          </w:rPr>
        </w:r>
        <w:r w:rsidR="00CC349F">
          <w:rPr>
            <w:noProof/>
            <w:webHidden/>
          </w:rPr>
          <w:fldChar w:fldCharType="separate"/>
        </w:r>
        <w:r w:rsidR="00CC349F">
          <w:rPr>
            <w:noProof/>
            <w:webHidden/>
          </w:rPr>
          <w:t>4</w:t>
        </w:r>
        <w:r w:rsidR="00CC349F">
          <w:rPr>
            <w:noProof/>
            <w:webHidden/>
          </w:rPr>
          <w:fldChar w:fldCharType="end"/>
        </w:r>
      </w:hyperlink>
    </w:p>
    <w:p w14:paraId="59E40F9A"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5" w:history="1">
        <w:r w:rsidR="00CC349F" w:rsidRPr="00532F7B">
          <w:rPr>
            <w:rStyle w:val="Hyperlink"/>
            <w:noProof/>
          </w:rPr>
          <w:t>6.</w:t>
        </w:r>
        <w:r w:rsidR="00CC349F">
          <w:rPr>
            <w:rFonts w:eastAsiaTheme="minorEastAsia"/>
            <w:b w:val="0"/>
            <w:noProof/>
            <w:color w:val="auto"/>
            <w:lang w:eastAsia="en-GB"/>
          </w:rPr>
          <w:tab/>
        </w:r>
        <w:r w:rsidR="00CC349F" w:rsidRPr="00532F7B">
          <w:rPr>
            <w:rStyle w:val="Hyperlink"/>
            <w:noProof/>
          </w:rPr>
          <w:t>Stages of Aseptic Technique</w:t>
        </w:r>
        <w:r w:rsidR="00CC349F">
          <w:rPr>
            <w:noProof/>
            <w:webHidden/>
          </w:rPr>
          <w:tab/>
        </w:r>
        <w:r w:rsidR="00CC349F">
          <w:rPr>
            <w:noProof/>
            <w:webHidden/>
          </w:rPr>
          <w:fldChar w:fldCharType="begin"/>
        </w:r>
        <w:r w:rsidR="00CC349F">
          <w:rPr>
            <w:noProof/>
            <w:webHidden/>
          </w:rPr>
          <w:instrText xml:space="preserve"> PAGEREF _Toc104881815 \h </w:instrText>
        </w:r>
        <w:r w:rsidR="00CC349F">
          <w:rPr>
            <w:noProof/>
            <w:webHidden/>
          </w:rPr>
        </w:r>
        <w:r w:rsidR="00CC349F">
          <w:rPr>
            <w:noProof/>
            <w:webHidden/>
          </w:rPr>
          <w:fldChar w:fldCharType="separate"/>
        </w:r>
        <w:r w:rsidR="00CC349F">
          <w:rPr>
            <w:noProof/>
            <w:webHidden/>
          </w:rPr>
          <w:t>4</w:t>
        </w:r>
        <w:r w:rsidR="00CC349F">
          <w:rPr>
            <w:noProof/>
            <w:webHidden/>
          </w:rPr>
          <w:fldChar w:fldCharType="end"/>
        </w:r>
      </w:hyperlink>
    </w:p>
    <w:p w14:paraId="1D37776A"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6" w:history="1">
        <w:r w:rsidR="00CC349F" w:rsidRPr="00532F7B">
          <w:rPr>
            <w:rStyle w:val="Hyperlink"/>
            <w:noProof/>
          </w:rPr>
          <w:t>7.</w:t>
        </w:r>
        <w:r w:rsidR="00CC349F">
          <w:rPr>
            <w:rFonts w:eastAsiaTheme="minorEastAsia"/>
            <w:b w:val="0"/>
            <w:noProof/>
            <w:color w:val="auto"/>
            <w:lang w:eastAsia="en-GB"/>
          </w:rPr>
          <w:tab/>
        </w:r>
        <w:r w:rsidR="00CC349F" w:rsidRPr="00532F7B">
          <w:rPr>
            <w:rStyle w:val="Hyperlink"/>
            <w:noProof/>
          </w:rPr>
          <w:t>Monitoring</w:t>
        </w:r>
        <w:r w:rsidR="00CC349F">
          <w:rPr>
            <w:noProof/>
            <w:webHidden/>
          </w:rPr>
          <w:tab/>
        </w:r>
        <w:r w:rsidR="00CC349F">
          <w:rPr>
            <w:noProof/>
            <w:webHidden/>
          </w:rPr>
          <w:fldChar w:fldCharType="begin"/>
        </w:r>
        <w:r w:rsidR="00CC349F">
          <w:rPr>
            <w:noProof/>
            <w:webHidden/>
          </w:rPr>
          <w:instrText xml:space="preserve"> PAGEREF _Toc104881816 \h </w:instrText>
        </w:r>
        <w:r w:rsidR="00CC349F">
          <w:rPr>
            <w:noProof/>
            <w:webHidden/>
          </w:rPr>
        </w:r>
        <w:r w:rsidR="00CC349F">
          <w:rPr>
            <w:noProof/>
            <w:webHidden/>
          </w:rPr>
          <w:fldChar w:fldCharType="separate"/>
        </w:r>
        <w:r w:rsidR="00CC349F">
          <w:rPr>
            <w:noProof/>
            <w:webHidden/>
          </w:rPr>
          <w:t>6</w:t>
        </w:r>
        <w:r w:rsidR="00CC349F">
          <w:rPr>
            <w:noProof/>
            <w:webHidden/>
          </w:rPr>
          <w:fldChar w:fldCharType="end"/>
        </w:r>
      </w:hyperlink>
    </w:p>
    <w:p w14:paraId="73ECE9A2"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7" w:history="1">
        <w:r w:rsidR="00CC349F" w:rsidRPr="00532F7B">
          <w:rPr>
            <w:rStyle w:val="Hyperlink"/>
            <w:noProof/>
          </w:rPr>
          <w:t>8.</w:t>
        </w:r>
        <w:r w:rsidR="00CC349F">
          <w:rPr>
            <w:rFonts w:eastAsiaTheme="minorEastAsia"/>
            <w:b w:val="0"/>
            <w:noProof/>
            <w:color w:val="auto"/>
            <w:lang w:eastAsia="en-GB"/>
          </w:rPr>
          <w:tab/>
        </w:r>
        <w:r w:rsidR="00CC349F" w:rsidRPr="00532F7B">
          <w:rPr>
            <w:rStyle w:val="Hyperlink"/>
            <w:noProof/>
          </w:rPr>
          <w:t>Related Policies and Procedures</w:t>
        </w:r>
        <w:r w:rsidR="00CC349F">
          <w:rPr>
            <w:noProof/>
            <w:webHidden/>
          </w:rPr>
          <w:tab/>
        </w:r>
        <w:r w:rsidR="00CC349F">
          <w:rPr>
            <w:noProof/>
            <w:webHidden/>
          </w:rPr>
          <w:fldChar w:fldCharType="begin"/>
        </w:r>
        <w:r w:rsidR="00CC349F">
          <w:rPr>
            <w:noProof/>
            <w:webHidden/>
          </w:rPr>
          <w:instrText xml:space="preserve"> PAGEREF _Toc104881817 \h </w:instrText>
        </w:r>
        <w:r w:rsidR="00CC349F">
          <w:rPr>
            <w:noProof/>
            <w:webHidden/>
          </w:rPr>
        </w:r>
        <w:r w:rsidR="00CC349F">
          <w:rPr>
            <w:noProof/>
            <w:webHidden/>
          </w:rPr>
          <w:fldChar w:fldCharType="separate"/>
        </w:r>
        <w:r w:rsidR="00CC349F">
          <w:rPr>
            <w:noProof/>
            <w:webHidden/>
          </w:rPr>
          <w:t>7</w:t>
        </w:r>
        <w:r w:rsidR="00CC349F">
          <w:rPr>
            <w:noProof/>
            <w:webHidden/>
          </w:rPr>
          <w:fldChar w:fldCharType="end"/>
        </w:r>
      </w:hyperlink>
    </w:p>
    <w:p w14:paraId="62CBDAAB" w14:textId="77777777" w:rsidR="00CC349F" w:rsidRDefault="00FB7151">
      <w:pPr>
        <w:pStyle w:val="TOC1"/>
        <w:tabs>
          <w:tab w:val="left" w:pos="440"/>
          <w:tab w:val="right" w:leader="dot" w:pos="9016"/>
        </w:tabs>
        <w:rPr>
          <w:rFonts w:eastAsiaTheme="minorEastAsia"/>
          <w:b w:val="0"/>
          <w:noProof/>
          <w:color w:val="auto"/>
          <w:lang w:eastAsia="en-GB"/>
        </w:rPr>
      </w:pPr>
      <w:hyperlink w:anchor="_Toc104881818" w:history="1">
        <w:r w:rsidR="00CC349F" w:rsidRPr="00532F7B">
          <w:rPr>
            <w:rStyle w:val="Hyperlink"/>
            <w:noProof/>
          </w:rPr>
          <w:t>9.</w:t>
        </w:r>
        <w:r w:rsidR="00CC349F">
          <w:rPr>
            <w:rFonts w:eastAsiaTheme="minorEastAsia"/>
            <w:b w:val="0"/>
            <w:noProof/>
            <w:color w:val="auto"/>
            <w:lang w:eastAsia="en-GB"/>
          </w:rPr>
          <w:tab/>
        </w:r>
        <w:r w:rsidR="00CC349F" w:rsidRPr="00532F7B">
          <w:rPr>
            <w:rStyle w:val="Hyperlink"/>
            <w:noProof/>
          </w:rPr>
          <w:t>Legislation and Guidance</w:t>
        </w:r>
        <w:r w:rsidR="00CC349F">
          <w:rPr>
            <w:noProof/>
            <w:webHidden/>
          </w:rPr>
          <w:tab/>
        </w:r>
        <w:r w:rsidR="00CC349F">
          <w:rPr>
            <w:noProof/>
            <w:webHidden/>
          </w:rPr>
          <w:fldChar w:fldCharType="begin"/>
        </w:r>
        <w:r w:rsidR="00CC349F">
          <w:rPr>
            <w:noProof/>
            <w:webHidden/>
          </w:rPr>
          <w:instrText xml:space="preserve"> PAGEREF _Toc104881818 \h </w:instrText>
        </w:r>
        <w:r w:rsidR="00CC349F">
          <w:rPr>
            <w:noProof/>
            <w:webHidden/>
          </w:rPr>
        </w:r>
        <w:r w:rsidR="00CC349F">
          <w:rPr>
            <w:noProof/>
            <w:webHidden/>
          </w:rPr>
          <w:fldChar w:fldCharType="separate"/>
        </w:r>
        <w:r w:rsidR="00CC349F">
          <w:rPr>
            <w:noProof/>
            <w:webHidden/>
          </w:rPr>
          <w:t>7</w:t>
        </w:r>
        <w:r w:rsidR="00CC349F">
          <w:rPr>
            <w:noProof/>
            <w:webHidden/>
          </w:rPr>
          <w:fldChar w:fldCharType="end"/>
        </w:r>
      </w:hyperlink>
    </w:p>
    <w:p w14:paraId="4190C4D6" w14:textId="77777777" w:rsidR="00CC349F" w:rsidRDefault="00FB7151">
      <w:pPr>
        <w:pStyle w:val="TOC1"/>
        <w:tabs>
          <w:tab w:val="left" w:pos="660"/>
          <w:tab w:val="right" w:leader="dot" w:pos="9016"/>
        </w:tabs>
        <w:rPr>
          <w:rFonts w:eastAsiaTheme="minorEastAsia"/>
          <w:b w:val="0"/>
          <w:noProof/>
          <w:color w:val="auto"/>
          <w:lang w:eastAsia="en-GB"/>
        </w:rPr>
      </w:pPr>
      <w:hyperlink w:anchor="_Toc104881819" w:history="1">
        <w:r w:rsidR="00CC349F" w:rsidRPr="00532F7B">
          <w:rPr>
            <w:rStyle w:val="Hyperlink"/>
            <w:noProof/>
          </w:rPr>
          <w:t>10.</w:t>
        </w:r>
        <w:r w:rsidR="00CC349F">
          <w:rPr>
            <w:rFonts w:eastAsiaTheme="minorEastAsia"/>
            <w:b w:val="0"/>
            <w:noProof/>
            <w:color w:val="auto"/>
            <w:lang w:eastAsia="en-GB"/>
          </w:rPr>
          <w:tab/>
        </w:r>
        <w:r w:rsidR="00CC349F" w:rsidRPr="00532F7B">
          <w:rPr>
            <w:rStyle w:val="Hyperlink"/>
            <w:noProof/>
          </w:rPr>
          <w:t>Compliance</w:t>
        </w:r>
        <w:r w:rsidR="00CC349F">
          <w:rPr>
            <w:noProof/>
            <w:webHidden/>
          </w:rPr>
          <w:tab/>
        </w:r>
        <w:r w:rsidR="00CC349F">
          <w:rPr>
            <w:noProof/>
            <w:webHidden/>
          </w:rPr>
          <w:fldChar w:fldCharType="begin"/>
        </w:r>
        <w:r w:rsidR="00CC349F">
          <w:rPr>
            <w:noProof/>
            <w:webHidden/>
          </w:rPr>
          <w:instrText xml:space="preserve"> PAGEREF _Toc104881819 \h </w:instrText>
        </w:r>
        <w:r w:rsidR="00CC349F">
          <w:rPr>
            <w:noProof/>
            <w:webHidden/>
          </w:rPr>
        </w:r>
        <w:r w:rsidR="00CC349F">
          <w:rPr>
            <w:noProof/>
            <w:webHidden/>
          </w:rPr>
          <w:fldChar w:fldCharType="separate"/>
        </w:r>
        <w:r w:rsidR="00CC349F">
          <w:rPr>
            <w:noProof/>
            <w:webHidden/>
          </w:rPr>
          <w:t>7</w:t>
        </w:r>
        <w:r w:rsidR="00CC349F">
          <w:rPr>
            <w:noProof/>
            <w:webHidden/>
          </w:rPr>
          <w:fldChar w:fldCharType="end"/>
        </w:r>
      </w:hyperlink>
    </w:p>
    <w:p w14:paraId="69DC231A" w14:textId="77777777" w:rsidR="00CC349F" w:rsidRDefault="00FB7151">
      <w:pPr>
        <w:pStyle w:val="TOC1"/>
        <w:tabs>
          <w:tab w:val="left" w:pos="660"/>
          <w:tab w:val="right" w:leader="dot" w:pos="9016"/>
        </w:tabs>
        <w:rPr>
          <w:rFonts w:eastAsiaTheme="minorEastAsia"/>
          <w:b w:val="0"/>
          <w:noProof/>
          <w:color w:val="auto"/>
          <w:lang w:eastAsia="en-GB"/>
        </w:rPr>
      </w:pPr>
      <w:hyperlink w:anchor="_Toc104881820" w:history="1">
        <w:r w:rsidR="00CC349F" w:rsidRPr="00532F7B">
          <w:rPr>
            <w:rStyle w:val="Hyperlink"/>
            <w:noProof/>
          </w:rPr>
          <w:t>11.</w:t>
        </w:r>
        <w:r w:rsidR="00CC349F">
          <w:rPr>
            <w:rFonts w:eastAsiaTheme="minorEastAsia"/>
            <w:b w:val="0"/>
            <w:noProof/>
            <w:color w:val="auto"/>
            <w:lang w:eastAsia="en-GB"/>
          </w:rPr>
          <w:tab/>
        </w:r>
        <w:r w:rsidR="00CC349F" w:rsidRPr="00532F7B">
          <w:rPr>
            <w:rStyle w:val="Hyperlink"/>
            <w:noProof/>
          </w:rPr>
          <w:t>Summary of Review</w:t>
        </w:r>
        <w:r w:rsidR="00CC349F">
          <w:rPr>
            <w:noProof/>
            <w:webHidden/>
          </w:rPr>
          <w:tab/>
        </w:r>
        <w:r w:rsidR="00CC349F">
          <w:rPr>
            <w:noProof/>
            <w:webHidden/>
          </w:rPr>
          <w:fldChar w:fldCharType="begin"/>
        </w:r>
        <w:r w:rsidR="00CC349F">
          <w:rPr>
            <w:noProof/>
            <w:webHidden/>
          </w:rPr>
          <w:instrText xml:space="preserve"> PAGEREF _Toc104881820 \h </w:instrText>
        </w:r>
        <w:r w:rsidR="00CC349F">
          <w:rPr>
            <w:noProof/>
            <w:webHidden/>
          </w:rPr>
        </w:r>
        <w:r w:rsidR="00CC349F">
          <w:rPr>
            <w:noProof/>
            <w:webHidden/>
          </w:rPr>
          <w:fldChar w:fldCharType="separate"/>
        </w:r>
        <w:r w:rsidR="00CC349F">
          <w:rPr>
            <w:noProof/>
            <w:webHidden/>
          </w:rPr>
          <w:t>9</w:t>
        </w:r>
        <w:r w:rsidR="00CC349F">
          <w:rPr>
            <w:noProof/>
            <w:webHidden/>
          </w:rPr>
          <w:fldChar w:fldCharType="end"/>
        </w:r>
      </w:hyperlink>
    </w:p>
    <w:p w14:paraId="3D3B82B9" w14:textId="77777777" w:rsidR="008A472E" w:rsidRPr="002B681F" w:rsidRDefault="00877C5C" w:rsidP="001D58B0">
      <w:pPr>
        <w:rPr>
          <w:rFonts w:ascii="Open Sans" w:hAnsi="Open Sans" w:cs="Open Sans"/>
          <w:color w:val="auto"/>
        </w:rPr>
      </w:pPr>
      <w:r w:rsidRPr="00B77FA6">
        <w:rPr>
          <w:rFonts w:ascii="Open Sans" w:hAnsi="Open Sans" w:cs="Open Sans"/>
          <w:color w:val="264467"/>
        </w:rPr>
        <w:fldChar w:fldCharType="end"/>
      </w:r>
    </w:p>
    <w:p w14:paraId="2F12CABA" w14:textId="48D9DCC9" w:rsidR="00710215" w:rsidRDefault="00710215">
      <w:pPr>
        <w:rPr>
          <w:rFonts w:ascii="Open Sans" w:eastAsia="Times New Roman" w:hAnsi="Open Sans" w:cs="Open Sans"/>
          <w:b/>
          <w:color w:val="264467"/>
          <w:sz w:val="36"/>
          <w:szCs w:val="32"/>
        </w:rPr>
      </w:pPr>
      <w:r>
        <w:br w:type="page"/>
      </w:r>
    </w:p>
    <w:p w14:paraId="7EF7FB09" w14:textId="77777777" w:rsidR="00F13E76" w:rsidRPr="000269C5" w:rsidRDefault="00127C42" w:rsidP="00B00C10">
      <w:pPr>
        <w:pStyle w:val="Heading1"/>
      </w:pPr>
      <w:bookmarkStart w:id="0" w:name="_Toc104881810"/>
      <w:r w:rsidRPr="00B00C10">
        <w:lastRenderedPageBreak/>
        <w:t>Introduction</w:t>
      </w:r>
      <w:bookmarkEnd w:id="0"/>
    </w:p>
    <w:p w14:paraId="0A6694B0" w14:textId="77777777" w:rsidR="00E22FA7" w:rsidRPr="00E22FA7" w:rsidRDefault="00E22FA7" w:rsidP="00E22FA7">
      <w:pPr>
        <w:jc w:val="both"/>
        <w:rPr>
          <w:rFonts w:ascii="Open Sans" w:hAnsi="Open Sans"/>
          <w:color w:val="auto"/>
        </w:rPr>
      </w:pPr>
      <w:r w:rsidRPr="00E22FA7">
        <w:rPr>
          <w:rFonts w:ascii="Open Sans" w:hAnsi="Open Sans"/>
          <w:color w:val="auto"/>
        </w:rPr>
        <w:t>Aseptic technique is a process designed to protect clients during invasive clinical procedures using infection prevention and control measures to minimise the presence of pathogenic microorganisms. This is achieved by identifying and protecting key sites and key parts, consistently applying the following principles:</w:t>
      </w:r>
    </w:p>
    <w:p w14:paraId="1C62E6B3" w14:textId="77777777" w:rsidR="00E22FA7" w:rsidRPr="00E22FA7" w:rsidRDefault="00E22FA7" w:rsidP="00E22FA7">
      <w:pPr>
        <w:pStyle w:val="ListParagraph"/>
        <w:numPr>
          <w:ilvl w:val="0"/>
          <w:numId w:val="27"/>
        </w:numPr>
        <w:jc w:val="both"/>
        <w:rPr>
          <w:rFonts w:ascii="Open Sans" w:hAnsi="Open Sans"/>
          <w:color w:val="auto"/>
        </w:rPr>
      </w:pPr>
      <w:r w:rsidRPr="00E22FA7">
        <w:rPr>
          <w:rFonts w:ascii="Open Sans" w:hAnsi="Open Sans"/>
          <w:color w:val="auto"/>
        </w:rPr>
        <w:t>good hand hygiene</w:t>
      </w:r>
    </w:p>
    <w:p w14:paraId="193934CD" w14:textId="77777777" w:rsidR="00E22FA7" w:rsidRPr="00E22FA7" w:rsidRDefault="00E22FA7" w:rsidP="00E22FA7">
      <w:pPr>
        <w:pStyle w:val="ListParagraph"/>
        <w:numPr>
          <w:ilvl w:val="0"/>
          <w:numId w:val="27"/>
        </w:numPr>
        <w:jc w:val="both"/>
        <w:rPr>
          <w:rFonts w:ascii="Open Sans" w:hAnsi="Open Sans"/>
          <w:color w:val="auto"/>
        </w:rPr>
      </w:pPr>
      <w:r w:rsidRPr="00E22FA7">
        <w:rPr>
          <w:rFonts w:ascii="Open Sans" w:hAnsi="Open Sans"/>
          <w:color w:val="auto"/>
        </w:rPr>
        <w:t>correct and appropriate use of personal protective equipment (PPE)</w:t>
      </w:r>
    </w:p>
    <w:p w14:paraId="42AB52CC" w14:textId="77777777" w:rsidR="00E22FA7" w:rsidRPr="00E22FA7" w:rsidRDefault="00E22FA7" w:rsidP="00E22FA7">
      <w:pPr>
        <w:pStyle w:val="ListParagraph"/>
        <w:numPr>
          <w:ilvl w:val="0"/>
          <w:numId w:val="27"/>
        </w:numPr>
        <w:jc w:val="both"/>
        <w:rPr>
          <w:rFonts w:ascii="Open Sans" w:hAnsi="Open Sans"/>
          <w:color w:val="auto"/>
        </w:rPr>
      </w:pPr>
      <w:r w:rsidRPr="00E22FA7">
        <w:rPr>
          <w:rFonts w:ascii="Open Sans" w:hAnsi="Open Sans"/>
          <w:color w:val="auto"/>
        </w:rPr>
        <w:t>using sterile equipment, or appropriately cleaning and allowing to dry, key parts to a standard that ensures they are aseptic before use</w:t>
      </w:r>
    </w:p>
    <w:p w14:paraId="41942A09" w14:textId="77777777" w:rsidR="00E22FA7" w:rsidRDefault="00E22FA7" w:rsidP="00E22FA7">
      <w:pPr>
        <w:pStyle w:val="ListParagraph"/>
        <w:numPr>
          <w:ilvl w:val="0"/>
          <w:numId w:val="27"/>
        </w:numPr>
        <w:jc w:val="both"/>
        <w:rPr>
          <w:rFonts w:ascii="Open Sans" w:hAnsi="Open Sans"/>
          <w:color w:val="auto"/>
        </w:rPr>
      </w:pPr>
      <w:r w:rsidRPr="00E22FA7">
        <w:rPr>
          <w:rFonts w:ascii="Open Sans" w:hAnsi="Open Sans"/>
          <w:color w:val="auto"/>
        </w:rPr>
        <w:t>use of a non-touch technique throughout.</w:t>
      </w:r>
    </w:p>
    <w:p w14:paraId="6C1D7182" w14:textId="77777777" w:rsidR="004E29CF" w:rsidRPr="004E29CF" w:rsidRDefault="004E29CF" w:rsidP="004E29CF">
      <w:pPr>
        <w:jc w:val="both"/>
        <w:rPr>
          <w:rFonts w:ascii="Open Sans" w:hAnsi="Open Sans"/>
          <w:color w:val="auto"/>
        </w:rPr>
      </w:pPr>
    </w:p>
    <w:p w14:paraId="40988B0D" w14:textId="77777777" w:rsidR="00F13E76" w:rsidRPr="000269C5" w:rsidRDefault="00127C42" w:rsidP="000269C5">
      <w:pPr>
        <w:pStyle w:val="Heading1"/>
      </w:pPr>
      <w:bookmarkStart w:id="1" w:name="_Toc104881811"/>
      <w:r w:rsidRPr="000269C5">
        <w:t>P</w:t>
      </w:r>
      <w:r w:rsidR="008B198D" w:rsidRPr="000269C5">
        <w:t>olicy Statement</w:t>
      </w:r>
      <w:bookmarkEnd w:id="1"/>
    </w:p>
    <w:p w14:paraId="371B5142" w14:textId="0AE45F47" w:rsidR="00422552" w:rsidRPr="00710215" w:rsidRDefault="00FB7151" w:rsidP="00422552">
      <w:pPr>
        <w:jc w:val="both"/>
        <w:rPr>
          <w:rFonts w:ascii="Open Sans" w:hAnsi="Open Sans"/>
          <w:color w:val="auto"/>
        </w:rPr>
      </w:pPr>
      <w:sdt>
        <w:sdtPr>
          <w:rPr>
            <w:rFonts w:ascii="Open Sans" w:hAnsi="Open Sans"/>
            <w:color w:val="auto"/>
          </w:rPr>
          <w:tag w:val="HD:1.187.0.0:9796ae05-c847-4354-a5af-58caf8a940bc"/>
          <w:id w:val="-1213343177"/>
          <w:placeholder>
            <w:docPart w:val="8EB369F91BD949E09C1055AE58507251"/>
          </w:placeholder>
        </w:sdtPr>
        <w:sdtEndPr/>
        <w:sdtContent>
          <w:r w:rsidR="00D5291C">
            <w:rPr>
              <w:rFonts w:ascii="Open Sans" w:hAnsi="Open Sans"/>
              <w:noProof/>
              <w:color w:val="auto"/>
            </w:rPr>
            <w:t>[</w:t>
          </w:r>
          <w:r w:rsidR="00D5291C" w:rsidRPr="00D5291C">
            <w:rPr>
              <w:rFonts w:ascii="Open Sans" w:hAnsi="Open Sans"/>
              <w:noProof/>
              <w:color w:val="0000FF"/>
            </w:rPr>
            <w:t>Company Name</w:t>
          </w:r>
          <w:r w:rsidR="00D5291C">
            <w:rPr>
              <w:rFonts w:ascii="Open Sans" w:hAnsi="Open Sans"/>
              <w:noProof/>
              <w:color w:val="auto"/>
            </w:rPr>
            <w:t>]</w:t>
          </w:r>
        </w:sdtContent>
      </w:sdt>
      <w:r w:rsidR="00422552" w:rsidRPr="00710215">
        <w:rPr>
          <w:rFonts w:ascii="Open Sans" w:hAnsi="Open Sans"/>
          <w:color w:val="auto"/>
        </w:rPr>
        <w:t xml:space="preserve"> has a legal requirement to prevent and control infections under the Health and Social Care Act 2008. </w:t>
      </w:r>
    </w:p>
    <w:p w14:paraId="2E091B28" w14:textId="77777777" w:rsidR="00422552" w:rsidRDefault="00422552" w:rsidP="00422552">
      <w:pPr>
        <w:jc w:val="both"/>
        <w:rPr>
          <w:rFonts w:ascii="Open Sans" w:hAnsi="Open Sans"/>
          <w:color w:val="auto"/>
        </w:rPr>
      </w:pPr>
      <w:r w:rsidRPr="00710215">
        <w:rPr>
          <w:rFonts w:ascii="Open Sans" w:hAnsi="Open Sans"/>
          <w:color w:val="auto"/>
        </w:rPr>
        <w:t xml:space="preserve">This policy is designed to help prevent healthcare-acquired infections from the introduction of microorganisms by using an aseptic non-touch technique when performing procedures that bypass the body’s natural defences.  </w:t>
      </w:r>
    </w:p>
    <w:p w14:paraId="50E40D18" w14:textId="77777777" w:rsidR="00D5291C" w:rsidRPr="00710215" w:rsidRDefault="00D5291C" w:rsidP="00422552">
      <w:pPr>
        <w:jc w:val="both"/>
        <w:rPr>
          <w:rFonts w:ascii="Open Sans" w:hAnsi="Open Sans"/>
          <w:color w:val="auto"/>
        </w:rPr>
      </w:pPr>
    </w:p>
    <w:p w14:paraId="2E63A0A1" w14:textId="77777777" w:rsidR="00127C42" w:rsidRPr="00710215" w:rsidRDefault="008B198D" w:rsidP="000269C5">
      <w:pPr>
        <w:pStyle w:val="Heading1"/>
      </w:pPr>
      <w:bookmarkStart w:id="2" w:name="_Toc104881812"/>
      <w:r w:rsidRPr="00710215">
        <w:t>Scope</w:t>
      </w:r>
      <w:bookmarkEnd w:id="2"/>
    </w:p>
    <w:p w14:paraId="3F1604D3" w14:textId="77777777" w:rsidR="00AD0206" w:rsidRPr="00AD0206" w:rsidRDefault="00AD0206" w:rsidP="00AD0206">
      <w:pPr>
        <w:jc w:val="both"/>
        <w:rPr>
          <w:rFonts w:ascii="Open Sans" w:hAnsi="Open Sans"/>
          <w:color w:val="auto"/>
        </w:rPr>
      </w:pPr>
      <w:r w:rsidRPr="00710215">
        <w:rPr>
          <w:rFonts w:ascii="Open Sans" w:hAnsi="Open Sans"/>
          <w:color w:val="auto"/>
        </w:rPr>
        <w:t>This policy and the procedures apply to all staff undertaking</w:t>
      </w:r>
      <w:r w:rsidRPr="00AD0206">
        <w:rPr>
          <w:rFonts w:ascii="Open Sans" w:hAnsi="Open Sans"/>
          <w:color w:val="auto"/>
        </w:rPr>
        <w:t xml:space="preserve"> any client contact that bypasses the body's natural defences and increases the risk of infection.</w:t>
      </w:r>
    </w:p>
    <w:p w14:paraId="4AC3DF4E" w14:textId="381A6EE1" w:rsidR="00AD0206" w:rsidRPr="00AD0206" w:rsidRDefault="00FB7151" w:rsidP="00AD0206">
      <w:pPr>
        <w:jc w:val="both"/>
        <w:rPr>
          <w:rFonts w:ascii="Open Sans" w:hAnsi="Open Sans"/>
          <w:color w:val="auto"/>
        </w:rPr>
      </w:pPr>
      <w:sdt>
        <w:sdtPr>
          <w:rPr>
            <w:rFonts w:ascii="Open Sans" w:hAnsi="Open Sans"/>
            <w:color w:val="auto"/>
          </w:rPr>
          <w:tag w:val="HD:1.187.0.0:f5fa0711-9ad8-49cd-99b4-2954d330a1cd"/>
          <w:id w:val="936646138"/>
          <w:placeholder>
            <w:docPart w:val="269ACD45D0E64EF2AE3E05E85CB3084F"/>
          </w:placeholder>
        </w:sdtPr>
        <w:sdtEndPr/>
        <w:sdtContent>
          <w:r w:rsidR="00D5291C">
            <w:rPr>
              <w:rFonts w:ascii="Open Sans" w:hAnsi="Open Sans"/>
              <w:noProof/>
              <w:color w:val="auto"/>
            </w:rPr>
            <w:t>[</w:t>
          </w:r>
          <w:r w:rsidR="00D5291C" w:rsidRPr="00D5291C">
            <w:rPr>
              <w:rFonts w:ascii="Open Sans" w:hAnsi="Open Sans"/>
              <w:noProof/>
              <w:color w:val="0000FF"/>
            </w:rPr>
            <w:t>Company Name</w:t>
          </w:r>
          <w:r w:rsidR="00D5291C">
            <w:rPr>
              <w:rFonts w:ascii="Open Sans" w:hAnsi="Open Sans"/>
              <w:noProof/>
              <w:color w:val="auto"/>
            </w:rPr>
            <w:t>]</w:t>
          </w:r>
        </w:sdtContent>
      </w:sdt>
      <w:r w:rsidR="00AD0206" w:rsidRPr="00710215">
        <w:rPr>
          <w:rFonts w:ascii="Open Sans" w:hAnsi="Open Sans"/>
          <w:color w:val="auto"/>
        </w:rPr>
        <w:t xml:space="preserve"> are</w:t>
      </w:r>
      <w:r w:rsidR="00AD0206" w:rsidRPr="00AD0206">
        <w:rPr>
          <w:rFonts w:ascii="Open Sans" w:hAnsi="Open Sans"/>
          <w:color w:val="auto"/>
        </w:rPr>
        <w:t xml:space="preserve"> required to have an Infection Prevention and Control Lead responsible for guiding and supporting all staff when dealing with infection prevention and healthcare-acquired infections. They are also responsible for ensuring that the content of this policy remains current and in line with the standards of best practice. </w:t>
      </w:r>
    </w:p>
    <w:p w14:paraId="575A8635" w14:textId="77777777" w:rsidR="00C90E70" w:rsidRPr="002B681F" w:rsidRDefault="00C90E70" w:rsidP="00C90E70">
      <w:pPr>
        <w:rPr>
          <w:rFonts w:ascii="Open Sans" w:hAnsi="Open Sans" w:cs="Open Sans"/>
          <w:color w:val="auto"/>
        </w:rPr>
      </w:pPr>
    </w:p>
    <w:p w14:paraId="46DB750C" w14:textId="77777777" w:rsidR="00127C42" w:rsidRPr="002B681F" w:rsidRDefault="00AD0206" w:rsidP="000269C5">
      <w:pPr>
        <w:pStyle w:val="Heading1"/>
      </w:pPr>
      <w:bookmarkStart w:id="3" w:name="_Toc104881813"/>
      <w:r>
        <w:t>Definitions</w:t>
      </w:r>
      <w:bookmarkEnd w:id="3"/>
    </w:p>
    <w:p w14:paraId="6C26265F" w14:textId="77777777" w:rsidR="003C74BB" w:rsidRPr="003C74BB" w:rsidRDefault="003C74BB" w:rsidP="003C74BB">
      <w:pPr>
        <w:jc w:val="both"/>
        <w:rPr>
          <w:rFonts w:ascii="Open Sans" w:hAnsi="Open Sans"/>
          <w:color w:val="auto"/>
        </w:rPr>
      </w:pPr>
      <w:r w:rsidRPr="003C74BB">
        <w:rPr>
          <w:rFonts w:ascii="Open Sans" w:hAnsi="Open Sans"/>
          <w:b/>
          <w:bCs/>
          <w:color w:val="auto"/>
        </w:rPr>
        <w:t>Aseptic technique:</w:t>
      </w:r>
      <w:r w:rsidRPr="003C74BB">
        <w:rPr>
          <w:rFonts w:ascii="Open Sans" w:hAnsi="Open Sans"/>
          <w:color w:val="auto"/>
        </w:rPr>
        <w:t xml:space="preserve"> ensures that only uncontaminated equipment and fluids come into contact with susceptible body sites.</w:t>
      </w:r>
    </w:p>
    <w:p w14:paraId="0E9B02A0" w14:textId="77777777" w:rsidR="003C74BB" w:rsidRPr="003C74BB" w:rsidRDefault="003C74BB" w:rsidP="003C74BB">
      <w:pPr>
        <w:jc w:val="both"/>
        <w:rPr>
          <w:rFonts w:ascii="Open Sans" w:hAnsi="Open Sans"/>
          <w:color w:val="auto"/>
        </w:rPr>
      </w:pPr>
      <w:r w:rsidRPr="003C74BB">
        <w:rPr>
          <w:rFonts w:ascii="Open Sans" w:hAnsi="Open Sans"/>
          <w:b/>
          <w:bCs/>
          <w:color w:val="auto"/>
        </w:rPr>
        <w:lastRenderedPageBreak/>
        <w:t>Aseptic non-touch technique (ANTT):</w:t>
      </w:r>
      <w:r w:rsidRPr="003C74BB">
        <w:rPr>
          <w:rFonts w:ascii="Open Sans" w:hAnsi="Open Sans"/>
          <w:color w:val="auto"/>
        </w:rPr>
        <w:t xml:space="preserve">  the practice of avoiding contamination by not touching key elements, such as the tip of a needle, the seal of an intravenous connector after it has been decontaminated, or the inside surface of a sterile dressing where it will be in contact with the wound. </w:t>
      </w:r>
    </w:p>
    <w:p w14:paraId="6BC06E31" w14:textId="77777777" w:rsidR="00EE2ED4" w:rsidRPr="002B681F" w:rsidRDefault="00EE2ED4" w:rsidP="00EE2ED4">
      <w:pPr>
        <w:rPr>
          <w:rFonts w:ascii="Open Sans" w:hAnsi="Open Sans" w:cs="Open Sans"/>
          <w:color w:val="auto"/>
        </w:rPr>
      </w:pPr>
    </w:p>
    <w:p w14:paraId="5050453C" w14:textId="77777777" w:rsidR="006D75C8" w:rsidRPr="002B681F" w:rsidRDefault="003C74BB" w:rsidP="000269C5">
      <w:pPr>
        <w:pStyle w:val="Heading1"/>
      </w:pPr>
      <w:bookmarkStart w:id="4" w:name="_Toc104881814"/>
      <w:r>
        <w:t>Procedures</w:t>
      </w:r>
      <w:bookmarkEnd w:id="4"/>
    </w:p>
    <w:p w14:paraId="327CFD51" w14:textId="4916FA4D" w:rsidR="00712A85" w:rsidRPr="00712A85" w:rsidRDefault="00FB7151" w:rsidP="00712A85">
      <w:pPr>
        <w:jc w:val="both"/>
        <w:rPr>
          <w:rFonts w:ascii="Open Sans" w:hAnsi="Open Sans"/>
          <w:color w:val="auto"/>
        </w:rPr>
      </w:pPr>
      <w:sdt>
        <w:sdtPr>
          <w:rPr>
            <w:rFonts w:ascii="Open Sans" w:hAnsi="Open Sans"/>
            <w:color w:val="auto"/>
          </w:rPr>
          <w:tag w:val="HD:1.187.0.0:07d44228-fdcb-4816-9a67-6f51db154ab9"/>
          <w:id w:val="-1574898651"/>
          <w:placeholder>
            <w:docPart w:val="F7CC3D53CFD949F6BA3A880EE1932CDE"/>
          </w:placeholder>
        </w:sdtPr>
        <w:sdtEndPr/>
        <w:sdtContent>
          <w:r w:rsidR="00D5291C">
            <w:rPr>
              <w:rFonts w:ascii="Open Sans" w:hAnsi="Open Sans"/>
              <w:noProof/>
              <w:color w:val="auto"/>
            </w:rPr>
            <w:t>[</w:t>
          </w:r>
          <w:r w:rsidR="00D5291C" w:rsidRPr="00D5291C">
            <w:rPr>
              <w:rFonts w:ascii="Open Sans" w:hAnsi="Open Sans"/>
              <w:noProof/>
              <w:color w:val="0000FF"/>
            </w:rPr>
            <w:t>Company Name</w:t>
          </w:r>
          <w:r w:rsidR="00D5291C">
            <w:rPr>
              <w:rFonts w:ascii="Open Sans" w:hAnsi="Open Sans"/>
              <w:noProof/>
              <w:color w:val="auto"/>
            </w:rPr>
            <w:t>]</w:t>
          </w:r>
        </w:sdtContent>
      </w:sdt>
      <w:r w:rsidR="00712A85" w:rsidRPr="00710215">
        <w:rPr>
          <w:rFonts w:ascii="Open Sans" w:hAnsi="Open Sans"/>
          <w:color w:val="auto"/>
        </w:rPr>
        <w:t xml:space="preserve"> require the strict use of an ANNT whenever a procedure is being carried out that involves contact with a part of the body or an invasive device where introducing micro‐organisms could increase the risk of infection. While using an ANNT, the extent to which drapes, protective clothing and appropriate</w:t>
      </w:r>
      <w:r w:rsidR="00712A85" w:rsidRPr="00712A85">
        <w:rPr>
          <w:rFonts w:ascii="Open Sans" w:hAnsi="Open Sans"/>
          <w:color w:val="auto"/>
        </w:rPr>
        <w:t xml:space="preserve"> environments are also used is dependent on the type of procedure and its complexity, for example (this list is not exhaustive):   </w:t>
      </w:r>
    </w:p>
    <w:p w14:paraId="000EE332" w14:textId="77777777" w:rsidR="00712A85" w:rsidRPr="00712A85" w:rsidRDefault="00712A85" w:rsidP="00712A85">
      <w:pPr>
        <w:pStyle w:val="ListParagraph"/>
        <w:numPr>
          <w:ilvl w:val="0"/>
          <w:numId w:val="28"/>
        </w:numPr>
        <w:jc w:val="both"/>
        <w:rPr>
          <w:rFonts w:ascii="Open Sans" w:hAnsi="Open Sans"/>
          <w:color w:val="auto"/>
        </w:rPr>
      </w:pPr>
      <w:r w:rsidRPr="00712A85">
        <w:rPr>
          <w:rFonts w:ascii="Open Sans" w:hAnsi="Open Sans"/>
          <w:color w:val="auto"/>
          <w:highlight w:val="yellow"/>
        </w:rPr>
        <w:t>[delete as appropriate relevant to your service]</w:t>
      </w:r>
      <w:r w:rsidRPr="00712A85">
        <w:rPr>
          <w:rFonts w:ascii="Open Sans" w:hAnsi="Open Sans"/>
          <w:color w:val="auto"/>
        </w:rPr>
        <w:t xml:space="preserve"> large drapes and maximal barrier precautions are always required for surgical procedures, central venous, peripheral venous and vascular catheter insertions </w:t>
      </w:r>
    </w:p>
    <w:p w14:paraId="562EB5AD" w14:textId="77777777" w:rsidR="00712A85" w:rsidRPr="00712A85" w:rsidRDefault="00712A85" w:rsidP="00712A85">
      <w:pPr>
        <w:pStyle w:val="ListParagraph"/>
        <w:numPr>
          <w:ilvl w:val="0"/>
          <w:numId w:val="28"/>
        </w:numPr>
        <w:jc w:val="both"/>
        <w:rPr>
          <w:rFonts w:ascii="Open Sans" w:hAnsi="Open Sans"/>
          <w:color w:val="auto"/>
        </w:rPr>
      </w:pPr>
      <w:r w:rsidRPr="00712A85">
        <w:rPr>
          <w:rFonts w:ascii="Open Sans" w:hAnsi="Open Sans"/>
          <w:color w:val="auto"/>
        </w:rPr>
        <w:t>sterile gloves, a plastic apron and small drapes should be used in wound dressings, urethral catheter insertions and intravenous (IV) drug administrations via a centrally invasive line</w:t>
      </w:r>
    </w:p>
    <w:p w14:paraId="58FC96BF" w14:textId="77777777" w:rsidR="00712A85" w:rsidRPr="00712A85" w:rsidRDefault="00712A85" w:rsidP="00712A85">
      <w:pPr>
        <w:pStyle w:val="ListParagraph"/>
        <w:numPr>
          <w:ilvl w:val="0"/>
          <w:numId w:val="28"/>
        </w:numPr>
        <w:jc w:val="both"/>
        <w:rPr>
          <w:rFonts w:ascii="Open Sans" w:hAnsi="Open Sans"/>
          <w:color w:val="auto"/>
        </w:rPr>
      </w:pPr>
      <w:r w:rsidRPr="00712A85">
        <w:rPr>
          <w:rFonts w:ascii="Open Sans" w:hAnsi="Open Sans"/>
          <w:color w:val="auto"/>
        </w:rPr>
        <w:t xml:space="preserve">clean non-sterile gloves and a plastic apron are adequate for phlebotomy and IV peripheral drug administrations. </w:t>
      </w:r>
    </w:p>
    <w:p w14:paraId="6D301040" w14:textId="77777777" w:rsidR="00712A85" w:rsidRPr="00712A85" w:rsidRDefault="00712A85" w:rsidP="00712A85">
      <w:pPr>
        <w:jc w:val="both"/>
        <w:rPr>
          <w:rFonts w:ascii="Open Sans" w:hAnsi="Open Sans"/>
          <w:color w:val="auto"/>
        </w:rPr>
      </w:pPr>
      <w:r w:rsidRPr="00712A85">
        <w:rPr>
          <w:rFonts w:ascii="Open Sans" w:hAnsi="Open Sans"/>
          <w:color w:val="auto"/>
        </w:rPr>
        <w:t>Staff are responsible for maintaining their competence, skills and knowledge in infection prevention and control by attending mandatory education events and/or completing any additional training. They must then be able to demonstrate their understanding by applying the infection prevention and control principles in this policy. Any deficits in knowledge, resources, equipment and facilities or incidents that could result in transmitting infection, including near misses, must be reported to the Registered Manager and/or the Infection Prevention and Control lead, if they are not the same person.</w:t>
      </w:r>
    </w:p>
    <w:p w14:paraId="67EC528C" w14:textId="77777777" w:rsidR="00712A85" w:rsidRPr="00712A85" w:rsidRDefault="00712A85" w:rsidP="00712A85">
      <w:pPr>
        <w:jc w:val="both"/>
        <w:rPr>
          <w:rFonts w:ascii="Open Sans" w:hAnsi="Open Sans"/>
          <w:color w:val="auto"/>
        </w:rPr>
      </w:pPr>
      <w:r w:rsidRPr="00712A85">
        <w:rPr>
          <w:rFonts w:ascii="Open Sans" w:hAnsi="Open Sans"/>
          <w:color w:val="auto"/>
        </w:rPr>
        <w:t>Staff have a responsibility to not provide care while they are at risk of transmitting infectious agents to others, and if in doubt they must consult the Registered Manager or Infection Prevention and Control Lead.</w:t>
      </w:r>
    </w:p>
    <w:p w14:paraId="7027A2E4" w14:textId="77777777" w:rsidR="002D2A3B" w:rsidRPr="002B681F" w:rsidRDefault="002D2A3B" w:rsidP="002D2A3B">
      <w:pPr>
        <w:rPr>
          <w:rFonts w:ascii="Open Sans" w:hAnsi="Open Sans" w:cs="Open Sans"/>
          <w:color w:val="auto"/>
        </w:rPr>
      </w:pPr>
    </w:p>
    <w:p w14:paraId="3BA10375" w14:textId="77777777" w:rsidR="00127C42" w:rsidRPr="002B681F" w:rsidRDefault="001474AF" w:rsidP="000269C5">
      <w:pPr>
        <w:pStyle w:val="Heading1"/>
      </w:pPr>
      <w:bookmarkStart w:id="5" w:name="_Toc104881815"/>
      <w:r>
        <w:lastRenderedPageBreak/>
        <w:t>Stages of Aseptic Technique</w:t>
      </w:r>
      <w:bookmarkEnd w:id="5"/>
    </w:p>
    <w:p w14:paraId="2B0E7872"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Hand decontamination</w:t>
      </w:r>
    </w:p>
    <w:p w14:paraId="652F7831" w14:textId="77777777" w:rsidR="0098203D" w:rsidRPr="007D6301" w:rsidRDefault="0098203D" w:rsidP="0098203D">
      <w:pPr>
        <w:jc w:val="both"/>
        <w:rPr>
          <w:rFonts w:ascii="Open Sans" w:hAnsi="Open Sans"/>
          <w:color w:val="auto"/>
        </w:rPr>
      </w:pPr>
      <w:r w:rsidRPr="007D6301">
        <w:rPr>
          <w:rFonts w:ascii="Open Sans" w:hAnsi="Open Sans"/>
          <w:color w:val="auto"/>
        </w:rPr>
        <w:t>Hands must be decontaminated in line with the Infection Prevention and Control Policy. This can be undertaken either by washing with soap and water, or with the use of an alcohol-based hand rub. Hand hygiene must be performed before the preparation of sterile equipment and may also need to be repeated immediately before the procedure if the hands have become contaminated.</w:t>
      </w:r>
    </w:p>
    <w:p w14:paraId="6922D447" w14:textId="77777777" w:rsidR="0098203D" w:rsidRPr="007D6301" w:rsidRDefault="0098203D" w:rsidP="0098203D">
      <w:pPr>
        <w:jc w:val="both"/>
        <w:rPr>
          <w:rFonts w:ascii="Open Sans" w:hAnsi="Open Sans"/>
          <w:color w:val="auto"/>
        </w:rPr>
      </w:pPr>
    </w:p>
    <w:p w14:paraId="783697E2"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Storage of equipment</w:t>
      </w:r>
    </w:p>
    <w:p w14:paraId="616DAF1D" w14:textId="77777777" w:rsidR="0098203D" w:rsidRPr="007D6301" w:rsidRDefault="0098203D" w:rsidP="0098203D">
      <w:pPr>
        <w:jc w:val="both"/>
        <w:rPr>
          <w:rFonts w:ascii="Open Sans" w:hAnsi="Open Sans"/>
          <w:color w:val="auto"/>
        </w:rPr>
      </w:pPr>
      <w:r w:rsidRPr="007D6301">
        <w:rPr>
          <w:rFonts w:ascii="Open Sans" w:hAnsi="Open Sans"/>
          <w:color w:val="auto"/>
        </w:rPr>
        <w:t>All sterile equipment must be stored in a clean and dry environment, ideally out of direct sunlight and in a manner that enables staff to locate it easily.</w:t>
      </w:r>
    </w:p>
    <w:p w14:paraId="47E3C8AC" w14:textId="77777777" w:rsidR="0098203D" w:rsidRPr="007D6301" w:rsidRDefault="0098203D" w:rsidP="0098203D">
      <w:pPr>
        <w:jc w:val="both"/>
        <w:rPr>
          <w:rFonts w:ascii="Open Sans" w:hAnsi="Open Sans"/>
          <w:color w:val="auto"/>
        </w:rPr>
      </w:pPr>
    </w:p>
    <w:p w14:paraId="08963FDC"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Preparing equipment</w:t>
      </w:r>
    </w:p>
    <w:p w14:paraId="071C9871" w14:textId="77777777" w:rsidR="0098203D" w:rsidRPr="007D6301" w:rsidRDefault="0098203D" w:rsidP="0098203D">
      <w:pPr>
        <w:jc w:val="both"/>
        <w:rPr>
          <w:rFonts w:ascii="Open Sans" w:hAnsi="Open Sans"/>
          <w:color w:val="auto"/>
        </w:rPr>
      </w:pPr>
      <w:r w:rsidRPr="007D6301">
        <w:rPr>
          <w:rFonts w:ascii="Open Sans" w:hAnsi="Open Sans"/>
          <w:color w:val="auto"/>
        </w:rPr>
        <w:t xml:space="preserve">A suitable surface should be prepared in a clean area, preferably away from any handwash basins, to prevent contamination of the prepared equipment. The surface should be cleansed with either an antibacterial wipe or water-based disinfectant. At this stage, either a sterile field can be created with a dressing pack, or all necessary equipment should be gathered and arranged in a manner that protects the sterility of the key parts. All packaging must be inspected to ensure it is intact with no visible damage, and expiry dates should be checked to ensure the equipment remains in date.  </w:t>
      </w:r>
    </w:p>
    <w:p w14:paraId="6F10DF65" w14:textId="77777777" w:rsidR="0098203D" w:rsidRPr="007D6301" w:rsidRDefault="0098203D" w:rsidP="0098203D">
      <w:pPr>
        <w:jc w:val="both"/>
        <w:rPr>
          <w:rFonts w:ascii="Open Sans" w:hAnsi="Open Sans"/>
          <w:color w:val="auto"/>
        </w:rPr>
      </w:pPr>
    </w:p>
    <w:p w14:paraId="7557164E"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Consent</w:t>
      </w:r>
    </w:p>
    <w:p w14:paraId="28FFAED7" w14:textId="3550DCC8" w:rsidR="0098203D" w:rsidRPr="007D6301" w:rsidRDefault="0098203D" w:rsidP="0098203D">
      <w:pPr>
        <w:jc w:val="both"/>
        <w:rPr>
          <w:rFonts w:ascii="Open Sans" w:hAnsi="Open Sans"/>
          <w:color w:val="auto"/>
        </w:rPr>
      </w:pPr>
      <w:r w:rsidRPr="007D6301">
        <w:rPr>
          <w:rFonts w:ascii="Open Sans" w:hAnsi="Open Sans"/>
          <w:color w:val="auto"/>
        </w:rPr>
        <w:t xml:space="preserve">As with </w:t>
      </w:r>
      <w:r w:rsidRPr="00710215">
        <w:rPr>
          <w:rFonts w:ascii="Open Sans" w:hAnsi="Open Sans"/>
          <w:color w:val="auto"/>
        </w:rPr>
        <w:t xml:space="preserve">any client interaction, it is essential to inform the client before undertaking any procedure and to obtain consent. If the client is unable to provide consent and a decision is made in their best interests, this should be guided by the Mental Capacity Act 2005 and clearly documented in the client’s records (please see </w:t>
      </w:r>
      <w:sdt>
        <w:sdtPr>
          <w:rPr>
            <w:rFonts w:ascii="Open Sans" w:hAnsi="Open Sans"/>
            <w:color w:val="auto"/>
          </w:rPr>
          <w:tag w:val="HD:1.187.0.0:09e68305-a5b1-4eaf-989e-543f6d6c9ea3"/>
          <w:id w:val="1529135500"/>
          <w:placeholder>
            <w:docPart w:val="D52502CE9CFC4EE1BD6DD93379FA80F0"/>
          </w:placeholder>
        </w:sdtPr>
        <w:sdtEndPr/>
        <w:sdtContent>
          <w:r w:rsidR="00D5291C">
            <w:rPr>
              <w:rFonts w:ascii="Open Sans" w:hAnsi="Open Sans"/>
              <w:noProof/>
              <w:color w:val="auto"/>
            </w:rPr>
            <w:t>[</w:t>
          </w:r>
          <w:r w:rsidR="00D5291C" w:rsidRPr="00D5291C">
            <w:rPr>
              <w:rFonts w:ascii="Open Sans" w:hAnsi="Open Sans"/>
              <w:noProof/>
              <w:color w:val="0000FF"/>
            </w:rPr>
            <w:t>Company Name</w:t>
          </w:r>
          <w:r w:rsidR="00D5291C">
            <w:rPr>
              <w:rFonts w:ascii="Open Sans" w:hAnsi="Open Sans"/>
              <w:noProof/>
              <w:color w:val="auto"/>
            </w:rPr>
            <w:t>]</w:t>
          </w:r>
        </w:sdtContent>
      </w:sdt>
      <w:r w:rsidRPr="00710215">
        <w:rPr>
          <w:rFonts w:ascii="Open Sans" w:hAnsi="Open Sans"/>
          <w:color w:val="auto"/>
        </w:rPr>
        <w:t>’s Consent</w:t>
      </w:r>
      <w:r w:rsidRPr="007D6301">
        <w:rPr>
          <w:rFonts w:ascii="Open Sans" w:hAnsi="Open Sans"/>
          <w:color w:val="auto"/>
        </w:rPr>
        <w:t xml:space="preserve"> Policy for further information).</w:t>
      </w:r>
    </w:p>
    <w:p w14:paraId="73E3355C" w14:textId="77777777" w:rsidR="0098203D" w:rsidRPr="007D6301" w:rsidRDefault="0098203D" w:rsidP="0098203D">
      <w:pPr>
        <w:jc w:val="both"/>
        <w:rPr>
          <w:rFonts w:ascii="Open Sans" w:hAnsi="Open Sans"/>
          <w:color w:val="auto"/>
        </w:rPr>
      </w:pPr>
    </w:p>
    <w:p w14:paraId="6E8300A8"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Environment</w:t>
      </w:r>
    </w:p>
    <w:p w14:paraId="32BD1F26" w14:textId="77777777" w:rsidR="0098203D" w:rsidRPr="007D6301" w:rsidRDefault="0098203D" w:rsidP="0098203D">
      <w:pPr>
        <w:jc w:val="both"/>
        <w:rPr>
          <w:rFonts w:ascii="Open Sans" w:hAnsi="Open Sans"/>
          <w:color w:val="auto"/>
        </w:rPr>
      </w:pPr>
      <w:r w:rsidRPr="007D6301">
        <w:rPr>
          <w:rFonts w:ascii="Open Sans" w:hAnsi="Open Sans"/>
          <w:color w:val="auto"/>
        </w:rPr>
        <w:t xml:space="preserve">All procedures should be carried out in a location and manner that </w:t>
      </w:r>
      <w:r w:rsidRPr="00710215">
        <w:rPr>
          <w:rFonts w:ascii="Open Sans" w:hAnsi="Open Sans"/>
          <w:color w:val="auto"/>
        </w:rPr>
        <w:t>maintains client</w:t>
      </w:r>
      <w:r w:rsidRPr="007D6301">
        <w:rPr>
          <w:rFonts w:ascii="Open Sans" w:hAnsi="Open Sans"/>
          <w:color w:val="auto"/>
        </w:rPr>
        <w:t xml:space="preserve"> privacy and dignity. </w:t>
      </w:r>
    </w:p>
    <w:p w14:paraId="1C60C0DC" w14:textId="77777777" w:rsidR="0098203D" w:rsidRPr="007D6301" w:rsidRDefault="0098203D" w:rsidP="0098203D">
      <w:pPr>
        <w:jc w:val="both"/>
        <w:rPr>
          <w:rFonts w:ascii="Open Sans" w:hAnsi="Open Sans"/>
          <w:color w:val="auto"/>
        </w:rPr>
      </w:pPr>
    </w:p>
    <w:p w14:paraId="46D37969"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lastRenderedPageBreak/>
        <w:t>Maintaining a sterile field</w:t>
      </w:r>
    </w:p>
    <w:p w14:paraId="39E5818B" w14:textId="77777777" w:rsidR="0098203D" w:rsidRPr="007D6301" w:rsidRDefault="0098203D" w:rsidP="0098203D">
      <w:pPr>
        <w:jc w:val="both"/>
        <w:rPr>
          <w:rFonts w:ascii="Open Sans" w:hAnsi="Open Sans"/>
          <w:color w:val="auto"/>
        </w:rPr>
      </w:pPr>
      <w:r w:rsidRPr="007D6301">
        <w:rPr>
          <w:rFonts w:ascii="Open Sans" w:hAnsi="Open Sans"/>
          <w:color w:val="auto"/>
        </w:rPr>
        <w:t xml:space="preserve">A sterile field needs to be maintained for the entirety of the procedure and can be achieved through the careful opening of sterile packets that includes the use of corners only when opening a dressing pack and carefully opening and placing sterile equipment onto the sterile field. This avoids contamination of sterile equipment and sterile surfaces on the inside of the packaging. </w:t>
      </w:r>
    </w:p>
    <w:p w14:paraId="34A78784" w14:textId="77777777" w:rsidR="0098203D" w:rsidRPr="007D6301" w:rsidRDefault="0098203D" w:rsidP="0098203D">
      <w:pPr>
        <w:jc w:val="both"/>
        <w:rPr>
          <w:rFonts w:ascii="Open Sans" w:hAnsi="Open Sans"/>
          <w:color w:val="auto"/>
        </w:rPr>
      </w:pPr>
    </w:p>
    <w:p w14:paraId="1A069A83" w14:textId="77777777" w:rsidR="0098203D" w:rsidRPr="007D6301" w:rsidRDefault="0098203D" w:rsidP="0098203D">
      <w:pPr>
        <w:jc w:val="both"/>
        <w:rPr>
          <w:rFonts w:ascii="Open Sans" w:hAnsi="Open Sans"/>
          <w:b/>
          <w:bCs/>
          <w:color w:val="auto"/>
        </w:rPr>
      </w:pPr>
      <w:r w:rsidRPr="007D6301">
        <w:rPr>
          <w:rFonts w:ascii="Open Sans" w:hAnsi="Open Sans"/>
          <w:b/>
          <w:bCs/>
          <w:color w:val="auto"/>
        </w:rPr>
        <w:t>Equipment disposal</w:t>
      </w:r>
    </w:p>
    <w:p w14:paraId="0A6258FA" w14:textId="77777777" w:rsidR="0098203D" w:rsidRPr="007D6301" w:rsidRDefault="0098203D" w:rsidP="0098203D">
      <w:pPr>
        <w:jc w:val="both"/>
        <w:rPr>
          <w:rFonts w:ascii="Open Sans" w:hAnsi="Open Sans"/>
          <w:color w:val="auto"/>
        </w:rPr>
      </w:pPr>
      <w:r w:rsidRPr="007D6301">
        <w:rPr>
          <w:rFonts w:ascii="Open Sans" w:hAnsi="Open Sans"/>
          <w:color w:val="auto"/>
        </w:rPr>
        <w:t>At the end of the procedure, all waste must be appropriately and carefully disposed of.</w:t>
      </w:r>
    </w:p>
    <w:p w14:paraId="79FC29EF" w14:textId="77777777" w:rsidR="0098203D" w:rsidRPr="007D6301" w:rsidRDefault="0098203D" w:rsidP="0098203D">
      <w:pPr>
        <w:jc w:val="both"/>
        <w:rPr>
          <w:rFonts w:ascii="Open Sans" w:hAnsi="Open Sans"/>
          <w:color w:val="auto"/>
        </w:rPr>
      </w:pPr>
      <w:r w:rsidRPr="007D6301">
        <w:rPr>
          <w:rFonts w:ascii="Open Sans" w:hAnsi="Open Sans"/>
          <w:color w:val="auto"/>
        </w:rPr>
        <w:t>Sharps must not be passed directly from hand to hand, and handling should be kept to a minimum. Used standard needles must not be bent, broken or recapped before disposal and all sharps should be discarded immediately by the person generating the sharps waste into a sharps’ container conforming to current standards. Sharps containers:</w:t>
      </w:r>
    </w:p>
    <w:p w14:paraId="59E1C217"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 xml:space="preserve">must be in a safe position, safe height, away from public or patient / service user /client access and out of the reach of children </w:t>
      </w:r>
    </w:p>
    <w:p w14:paraId="44DFC765"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must not be used for any other purpose than the disposal of sharps</w:t>
      </w:r>
    </w:p>
    <w:p w14:paraId="57F13BC4"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must not be filled above the fill line</w:t>
      </w:r>
    </w:p>
    <w:p w14:paraId="5C8EB261"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must be disposed of when the fill line is reached</w:t>
      </w:r>
    </w:p>
    <w:p w14:paraId="695E2DD2"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should be temporarily closed when not in use</w:t>
      </w:r>
    </w:p>
    <w:p w14:paraId="5D10B16C" w14:textId="77777777" w:rsidR="0098203D" w:rsidRPr="007D6301" w:rsidRDefault="0098203D" w:rsidP="0098203D">
      <w:pPr>
        <w:pStyle w:val="ListParagraph"/>
        <w:numPr>
          <w:ilvl w:val="0"/>
          <w:numId w:val="29"/>
        </w:numPr>
        <w:jc w:val="both"/>
        <w:rPr>
          <w:rFonts w:ascii="Open Sans" w:hAnsi="Open Sans"/>
          <w:color w:val="auto"/>
        </w:rPr>
      </w:pPr>
      <w:r w:rsidRPr="007D6301">
        <w:rPr>
          <w:rFonts w:ascii="Open Sans" w:hAnsi="Open Sans"/>
          <w:color w:val="auto"/>
        </w:rPr>
        <w:t xml:space="preserve">should be disposed of every three months even if not full. </w:t>
      </w:r>
    </w:p>
    <w:p w14:paraId="647357CB" w14:textId="4F7047F5" w:rsidR="0098203D" w:rsidRPr="007D6301" w:rsidRDefault="0098203D" w:rsidP="0098203D">
      <w:pPr>
        <w:jc w:val="both"/>
        <w:rPr>
          <w:rFonts w:ascii="Open Sans" w:hAnsi="Open Sans"/>
          <w:color w:val="auto"/>
        </w:rPr>
      </w:pPr>
      <w:r w:rsidRPr="007D6301">
        <w:rPr>
          <w:rFonts w:ascii="Open Sans" w:hAnsi="Open Sans"/>
          <w:color w:val="auto"/>
        </w:rPr>
        <w:t xml:space="preserve">All other healthcare waste must be segregated immediately by the person generating the waste into the appropriate colour-coded storage or waste disposal bags. When all waste has been disposed of safely and apron and gloves, if worn, have been removed, the hands should be decontaminated, and the procedure should be clearly documented in the </w:t>
      </w:r>
      <w:r w:rsidR="001E3DCC">
        <w:rPr>
          <w:rFonts w:ascii="Open Sans" w:hAnsi="Open Sans"/>
          <w:color w:val="auto"/>
        </w:rPr>
        <w:t>client’s</w:t>
      </w:r>
      <w:r w:rsidRPr="007D6301">
        <w:rPr>
          <w:rFonts w:ascii="Open Sans" w:hAnsi="Open Sans"/>
          <w:color w:val="auto"/>
        </w:rPr>
        <w:t xml:space="preserve"> records.</w:t>
      </w:r>
    </w:p>
    <w:p w14:paraId="37FC059A" w14:textId="77777777" w:rsidR="001622B9" w:rsidRPr="002B681F" w:rsidRDefault="001622B9" w:rsidP="001622B9">
      <w:pPr>
        <w:rPr>
          <w:rFonts w:ascii="Open Sans" w:hAnsi="Open Sans" w:cs="Open Sans"/>
          <w:color w:val="auto"/>
        </w:rPr>
      </w:pPr>
    </w:p>
    <w:p w14:paraId="5A6FAC47" w14:textId="77777777" w:rsidR="002B2499" w:rsidRPr="002B681F" w:rsidRDefault="001622B9" w:rsidP="000269C5">
      <w:pPr>
        <w:pStyle w:val="Heading1"/>
      </w:pPr>
      <w:bookmarkStart w:id="6" w:name="_Toc104881816"/>
      <w:r w:rsidRPr="002B681F">
        <w:t>Monitoring</w:t>
      </w:r>
      <w:bookmarkEnd w:id="6"/>
    </w:p>
    <w:p w14:paraId="0930F6A3" w14:textId="77777777" w:rsidR="0086651D" w:rsidRPr="0086651D" w:rsidRDefault="0086651D" w:rsidP="0086651D">
      <w:pPr>
        <w:jc w:val="both"/>
        <w:rPr>
          <w:rFonts w:ascii="Open Sans" w:hAnsi="Open Sans"/>
          <w:color w:val="auto"/>
        </w:rPr>
      </w:pPr>
      <w:r w:rsidRPr="0086651D">
        <w:rPr>
          <w:rFonts w:ascii="Open Sans" w:hAnsi="Open Sans"/>
          <w:color w:val="auto"/>
        </w:rPr>
        <w:t xml:space="preserve">All outbreaks, serious untoward incidents and other significant healthcare-acquired infections will be monitored and investigated by the Infection Prevention and Control Lead and reported on as appropriate to the local Health Protection Unit. Where trends in healthcare-acquired infections resulting from an inappropriate aseptic technique are noted, additional training will be provided to the appropriate staff.  </w:t>
      </w:r>
    </w:p>
    <w:p w14:paraId="367292B3" w14:textId="77777777" w:rsidR="001622B9" w:rsidRPr="002B681F" w:rsidRDefault="001622B9" w:rsidP="001622B9">
      <w:pPr>
        <w:rPr>
          <w:rFonts w:ascii="Open Sans" w:hAnsi="Open Sans" w:cs="Open Sans"/>
          <w:color w:val="auto"/>
        </w:rPr>
      </w:pPr>
    </w:p>
    <w:p w14:paraId="64729B71" w14:textId="77777777" w:rsidR="002B2499" w:rsidRPr="002B681F" w:rsidRDefault="00B524DF" w:rsidP="000269C5">
      <w:pPr>
        <w:pStyle w:val="Heading1"/>
      </w:pPr>
      <w:bookmarkStart w:id="7" w:name="_Toc104881817"/>
      <w:r w:rsidRPr="002B681F">
        <w:lastRenderedPageBreak/>
        <w:t>Related Policies</w:t>
      </w:r>
      <w:r w:rsidR="0086651D">
        <w:t xml:space="preserve"> and Procedures</w:t>
      </w:r>
      <w:bookmarkEnd w:id="7"/>
    </w:p>
    <w:p w14:paraId="1BC223A8" w14:textId="77777777" w:rsidR="00FB086C" w:rsidRPr="00FA3FCA" w:rsidRDefault="00FB086C" w:rsidP="00FA3FCA">
      <w:pPr>
        <w:pStyle w:val="ListParagraph"/>
        <w:numPr>
          <w:ilvl w:val="0"/>
          <w:numId w:val="30"/>
        </w:numPr>
        <w:rPr>
          <w:rFonts w:ascii="Open Sans" w:hAnsi="Open Sans"/>
          <w:color w:val="auto"/>
        </w:rPr>
      </w:pPr>
      <w:r w:rsidRPr="00FA3FCA">
        <w:rPr>
          <w:rFonts w:ascii="Open Sans" w:hAnsi="Open Sans"/>
          <w:color w:val="auto"/>
        </w:rPr>
        <w:t>Consent Policy and Procedures</w:t>
      </w:r>
    </w:p>
    <w:p w14:paraId="01DEA333" w14:textId="77777777" w:rsidR="00FB086C" w:rsidRPr="00FA3FCA" w:rsidRDefault="00FB086C" w:rsidP="00FA3FCA">
      <w:pPr>
        <w:pStyle w:val="ListParagraph"/>
        <w:numPr>
          <w:ilvl w:val="0"/>
          <w:numId w:val="30"/>
        </w:numPr>
        <w:rPr>
          <w:rFonts w:ascii="Open Sans" w:hAnsi="Open Sans"/>
          <w:color w:val="auto"/>
        </w:rPr>
      </w:pPr>
      <w:r w:rsidRPr="00FA3FCA">
        <w:rPr>
          <w:rFonts w:ascii="Open Sans" w:hAnsi="Open Sans"/>
          <w:color w:val="auto"/>
        </w:rPr>
        <w:t>Infection Prevention and Control Policy and Procedures</w:t>
      </w:r>
    </w:p>
    <w:p w14:paraId="552793B9" w14:textId="77777777" w:rsidR="00B524DF" w:rsidRPr="002B681F" w:rsidRDefault="00B524DF" w:rsidP="00B524DF">
      <w:pPr>
        <w:rPr>
          <w:rFonts w:ascii="Open Sans" w:hAnsi="Open Sans" w:cs="Open Sans"/>
          <w:color w:val="auto"/>
        </w:rPr>
      </w:pPr>
    </w:p>
    <w:p w14:paraId="6A5B02E3" w14:textId="77777777" w:rsidR="002B2499" w:rsidRPr="002B681F" w:rsidRDefault="00F17033" w:rsidP="000269C5">
      <w:pPr>
        <w:pStyle w:val="Heading1"/>
      </w:pPr>
      <w:bookmarkStart w:id="8" w:name="_Toc104881818"/>
      <w:r w:rsidRPr="002B681F">
        <w:t>Legislation and Guidance</w:t>
      </w:r>
      <w:bookmarkEnd w:id="8"/>
    </w:p>
    <w:p w14:paraId="408AB7C6" w14:textId="77777777" w:rsidR="00FA3FCA" w:rsidRPr="00FA3FCA" w:rsidRDefault="00FA3FCA" w:rsidP="00FA3FCA">
      <w:pPr>
        <w:rPr>
          <w:rFonts w:ascii="Open Sans" w:hAnsi="Open Sans"/>
          <w:b/>
          <w:bCs/>
          <w:color w:val="auto"/>
        </w:rPr>
      </w:pPr>
      <w:r>
        <w:rPr>
          <w:rFonts w:ascii="Open Sans" w:hAnsi="Open Sans"/>
          <w:b/>
          <w:bCs/>
          <w:color w:val="auto"/>
        </w:rPr>
        <w:t>Relevant Legislation</w:t>
      </w:r>
    </w:p>
    <w:p w14:paraId="24B903B1" w14:textId="77777777" w:rsidR="00FA3FCA" w:rsidRPr="00FA3FCA" w:rsidRDefault="00FA3FCA" w:rsidP="00FA3FCA">
      <w:pPr>
        <w:pStyle w:val="ListParagraph"/>
        <w:numPr>
          <w:ilvl w:val="0"/>
          <w:numId w:val="31"/>
        </w:numPr>
        <w:rPr>
          <w:rFonts w:ascii="Open Sans" w:hAnsi="Open Sans"/>
          <w:color w:val="auto"/>
        </w:rPr>
      </w:pPr>
      <w:r w:rsidRPr="00FA3FCA">
        <w:rPr>
          <w:rFonts w:ascii="Open Sans" w:hAnsi="Open Sans"/>
          <w:color w:val="auto"/>
        </w:rPr>
        <w:t>Department of Health: The Health and Social Care Act 2008; Code of Practice on the prevention and control of infections and related guidance</w:t>
      </w:r>
    </w:p>
    <w:p w14:paraId="68CF7231" w14:textId="77777777" w:rsidR="00FA3FCA" w:rsidRPr="00FA3FCA" w:rsidRDefault="00FA3FCA" w:rsidP="00FA3FCA">
      <w:pPr>
        <w:pStyle w:val="ListParagraph"/>
        <w:numPr>
          <w:ilvl w:val="0"/>
          <w:numId w:val="31"/>
        </w:numPr>
        <w:rPr>
          <w:rFonts w:ascii="Open Sans" w:hAnsi="Open Sans"/>
          <w:color w:val="auto"/>
        </w:rPr>
      </w:pPr>
      <w:r w:rsidRPr="00FA3FCA">
        <w:rPr>
          <w:rFonts w:ascii="Open Sans" w:hAnsi="Open Sans"/>
          <w:color w:val="auto"/>
        </w:rPr>
        <w:t>Health Protection Agency: Health Care Associated Infection Operational Guidance and Standards for Health Protection Units, 2012</w:t>
      </w:r>
    </w:p>
    <w:p w14:paraId="795CBA48" w14:textId="77777777" w:rsidR="00FA3FCA" w:rsidRPr="00FA3FCA" w:rsidRDefault="00FA3FCA" w:rsidP="00FA3FCA">
      <w:pPr>
        <w:pStyle w:val="ListParagraph"/>
        <w:numPr>
          <w:ilvl w:val="0"/>
          <w:numId w:val="31"/>
        </w:numPr>
        <w:rPr>
          <w:rFonts w:ascii="Open Sans" w:hAnsi="Open Sans"/>
          <w:color w:val="auto"/>
        </w:rPr>
      </w:pPr>
      <w:r w:rsidRPr="00FA3FCA">
        <w:rPr>
          <w:rFonts w:ascii="Open Sans" w:hAnsi="Open Sans"/>
          <w:color w:val="auto"/>
        </w:rPr>
        <w:t>NHS England and NHS Improvement: Standard infection control precautions; national hand hygiene and personal protective equipment policy, March 2019</w:t>
      </w:r>
    </w:p>
    <w:p w14:paraId="75635F5A" w14:textId="77777777" w:rsidR="00FA3FCA" w:rsidRDefault="00FA3FCA" w:rsidP="008B65AE">
      <w:pPr>
        <w:rPr>
          <w:rFonts w:ascii="Open Sans" w:hAnsi="Open Sans"/>
          <w:b/>
          <w:bCs/>
          <w:color w:val="auto"/>
        </w:rPr>
      </w:pPr>
      <w:r>
        <w:rPr>
          <w:rFonts w:ascii="Open Sans" w:hAnsi="Open Sans"/>
          <w:b/>
          <w:bCs/>
          <w:color w:val="auto"/>
        </w:rPr>
        <w:t>Guidance</w:t>
      </w:r>
    </w:p>
    <w:p w14:paraId="004E0200"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 xml:space="preserve">NICE Guidance: </w:t>
      </w:r>
      <w:hyperlink r:id="rId12" w:history="1">
        <w:r w:rsidRPr="00E20FEF">
          <w:rPr>
            <w:rFonts w:ascii="Open Sans" w:hAnsi="Open Sans"/>
            <w:color w:val="0563C1" w:themeColor="hyperlink"/>
            <w:u w:val="single"/>
          </w:rPr>
          <w:t>https://www.nice.org.uk/guidance/cg139</w:t>
        </w:r>
      </w:hyperlink>
      <w:r w:rsidRPr="00E20FEF">
        <w:rPr>
          <w:rFonts w:ascii="Open Sans" w:hAnsi="Open Sans"/>
          <w:color w:val="auto"/>
        </w:rPr>
        <w:t xml:space="preserve"> </w:t>
      </w:r>
    </w:p>
    <w:p w14:paraId="4BAF68AE"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 xml:space="preserve">Nursing Times: </w:t>
      </w:r>
      <w:hyperlink r:id="rId13" w:history="1">
        <w:r w:rsidRPr="00E20FEF">
          <w:rPr>
            <w:rFonts w:ascii="Open Sans" w:hAnsi="Open Sans"/>
            <w:color w:val="0563C1" w:themeColor="hyperlink"/>
            <w:u w:val="single"/>
          </w:rPr>
          <w:t>https://www.nursingtimes.net/infection-prevention-and-control/principles-of-asepsis-1-the-rationale-for-using-aseptic-technique-14-04-2020/</w:t>
        </w:r>
      </w:hyperlink>
      <w:r w:rsidRPr="00E20FEF">
        <w:rPr>
          <w:rFonts w:ascii="Open Sans" w:hAnsi="Open Sans"/>
          <w:color w:val="auto"/>
        </w:rPr>
        <w:t xml:space="preserve"> </w:t>
      </w:r>
    </w:p>
    <w:p w14:paraId="234FBB46"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Department of Health: The Health and Social Care Act 2008; Code of Practice on the prevention and control of infections and related guidance</w:t>
      </w:r>
    </w:p>
    <w:p w14:paraId="44D0290C" w14:textId="77777777" w:rsidR="00FF6094" w:rsidRPr="00E20FEF" w:rsidRDefault="00FF6094" w:rsidP="00E20FEF">
      <w:pPr>
        <w:pStyle w:val="ListParagraph"/>
        <w:numPr>
          <w:ilvl w:val="0"/>
          <w:numId w:val="32"/>
        </w:numPr>
        <w:rPr>
          <w:color w:val="auto"/>
        </w:rPr>
      </w:pPr>
      <w:r w:rsidRPr="00E20FEF">
        <w:rPr>
          <w:rFonts w:ascii="Open Sans" w:hAnsi="Open Sans"/>
          <w:color w:val="auto"/>
        </w:rPr>
        <w:t xml:space="preserve">Association of Safe Aseptic Practice: </w:t>
      </w:r>
      <w:hyperlink r:id="rId14" w:history="1">
        <w:r w:rsidRPr="00E20FEF">
          <w:rPr>
            <w:rFonts w:ascii="Open Sans" w:hAnsi="Open Sans" w:cs="Open Sans"/>
            <w:color w:val="0563C1" w:themeColor="hyperlink"/>
            <w:u w:val="single"/>
          </w:rPr>
          <w:t>https://www.antt.org/resources.html</w:t>
        </w:r>
      </w:hyperlink>
    </w:p>
    <w:p w14:paraId="00C3892E"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 xml:space="preserve">WHO Guidance </w:t>
      </w:r>
      <w:hyperlink r:id="rId15" w:history="1">
        <w:r w:rsidRPr="00E20FEF">
          <w:rPr>
            <w:color w:val="0000FF"/>
            <w:u w:val="single"/>
          </w:rPr>
          <w:t>World Hand Hygiene Day (who.int)</w:t>
        </w:r>
      </w:hyperlink>
    </w:p>
    <w:p w14:paraId="687258B0"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Health Protection Agency: Health Care Associated Infection Operational Guidance and Standards for Health Protection Units, 2012</w:t>
      </w:r>
    </w:p>
    <w:p w14:paraId="05C153E0" w14:textId="77777777" w:rsidR="00FF6094" w:rsidRPr="00E20FEF" w:rsidRDefault="00FF6094" w:rsidP="00E20FEF">
      <w:pPr>
        <w:pStyle w:val="ListParagraph"/>
        <w:numPr>
          <w:ilvl w:val="0"/>
          <w:numId w:val="32"/>
        </w:numPr>
        <w:rPr>
          <w:rFonts w:ascii="Open Sans" w:hAnsi="Open Sans"/>
          <w:color w:val="auto"/>
        </w:rPr>
      </w:pPr>
      <w:r w:rsidRPr="00E20FEF">
        <w:rPr>
          <w:rFonts w:ascii="Open Sans" w:hAnsi="Open Sans"/>
          <w:color w:val="auto"/>
        </w:rPr>
        <w:t>NHS England and NHS Improvement: Standard infection control precautions; national hand hygiene and personal protective equipment policy, March 2019</w:t>
      </w:r>
    </w:p>
    <w:p w14:paraId="0B042BDD" w14:textId="77777777" w:rsidR="00710215" w:rsidRDefault="00710215">
      <w:pPr>
        <w:rPr>
          <w:rFonts w:ascii="Open Sans" w:eastAsia="Times New Roman" w:hAnsi="Open Sans" w:cs="Open Sans"/>
          <w:b/>
          <w:color w:val="264467"/>
          <w:sz w:val="36"/>
          <w:szCs w:val="32"/>
        </w:rPr>
      </w:pPr>
      <w:bookmarkStart w:id="9" w:name="_Toc97280968"/>
      <w:r>
        <w:br w:type="page"/>
      </w:r>
    </w:p>
    <w:p w14:paraId="3A13781B" w14:textId="77777777" w:rsidR="0067619B" w:rsidRPr="002B681F" w:rsidRDefault="0067619B" w:rsidP="0067619B">
      <w:pPr>
        <w:pStyle w:val="Heading1"/>
      </w:pPr>
      <w:bookmarkStart w:id="10" w:name="_Toc104881820"/>
      <w:r>
        <w:lastRenderedPageBreak/>
        <w:t>Summary of Review</w:t>
      </w:r>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67619B" w14:paraId="00967B49" w14:textId="77777777" w:rsidTr="00843524">
        <w:trPr>
          <w:cantSplit/>
          <w:trHeight w:val="612"/>
        </w:trPr>
        <w:tc>
          <w:tcPr>
            <w:tcW w:w="4490" w:type="dxa"/>
            <w:shd w:val="clear" w:color="auto" w:fill="DEEAF6" w:themeFill="accent5" w:themeFillTint="33"/>
            <w:vAlign w:val="center"/>
          </w:tcPr>
          <w:p w14:paraId="17F36DD7"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0C99643"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67619B" w14:paraId="1724E9B6" w14:textId="77777777" w:rsidTr="00843524">
        <w:trPr>
          <w:cantSplit/>
          <w:trHeight w:val="612"/>
        </w:trPr>
        <w:tc>
          <w:tcPr>
            <w:tcW w:w="4490" w:type="dxa"/>
            <w:shd w:val="clear" w:color="auto" w:fill="DEEAF6" w:themeFill="accent5" w:themeFillTint="33"/>
            <w:vAlign w:val="center"/>
          </w:tcPr>
          <w:p w14:paraId="28044536"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d00e8346-5294-495f-8e9f-c80a868e310a"/>
            <w:id w:val="-1565101425"/>
            <w:placeholder>
              <w:docPart w:val="D982063606D944CC9BC09E94891A512A"/>
            </w:placeholder>
          </w:sdtPr>
          <w:sdtEndPr/>
          <w:sdtContent>
            <w:tc>
              <w:tcPr>
                <w:tcW w:w="4490" w:type="dxa"/>
                <w:shd w:val="clear" w:color="auto" w:fill="F2F2F2" w:themeFill="background1" w:themeFillShade="F2"/>
                <w:vAlign w:val="center"/>
              </w:tcPr>
              <w:p w14:paraId="46DFEA1B" w14:textId="4091F93B" w:rsidR="0067619B" w:rsidRPr="00C25F0F" w:rsidRDefault="00D5291C"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D5291C">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67619B" w14:paraId="26874471" w14:textId="77777777" w:rsidTr="00843524">
        <w:trPr>
          <w:cantSplit/>
          <w:trHeight w:val="612"/>
        </w:trPr>
        <w:tc>
          <w:tcPr>
            <w:tcW w:w="4490" w:type="dxa"/>
            <w:shd w:val="clear" w:color="auto" w:fill="DEEAF6" w:themeFill="accent5" w:themeFillTint="33"/>
            <w:vAlign w:val="center"/>
          </w:tcPr>
          <w:p w14:paraId="7E26A974"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C3FCC24" w14:textId="77777777" w:rsidR="0067619B" w:rsidRPr="00C25F0F" w:rsidRDefault="0067619B" w:rsidP="00843524">
            <w:pPr>
              <w:keepNext/>
              <w:keepLines/>
              <w:rPr>
                <w:rFonts w:ascii="Open Sans" w:hAnsi="Open Sans" w:cs="Open Sans"/>
                <w:color w:val="auto"/>
                <w:sz w:val="20"/>
                <w:szCs w:val="20"/>
              </w:rPr>
            </w:pPr>
          </w:p>
        </w:tc>
      </w:tr>
      <w:tr w:rsidR="0067619B" w14:paraId="6C1C9D5C" w14:textId="77777777" w:rsidTr="00843524">
        <w:trPr>
          <w:cantSplit/>
          <w:trHeight w:val="550"/>
        </w:trPr>
        <w:tc>
          <w:tcPr>
            <w:tcW w:w="4490" w:type="dxa"/>
            <w:shd w:val="clear" w:color="auto" w:fill="DEEAF6" w:themeFill="accent5" w:themeFillTint="33"/>
            <w:vAlign w:val="center"/>
          </w:tcPr>
          <w:p w14:paraId="2E5961D8"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60B5730" w14:textId="77777777" w:rsidR="0067619B" w:rsidRPr="00C25F0F" w:rsidRDefault="0067619B" w:rsidP="00843524">
            <w:pPr>
              <w:keepNext/>
              <w:keepLines/>
              <w:rPr>
                <w:rFonts w:ascii="Open Sans" w:hAnsi="Open Sans" w:cs="Open Sans"/>
                <w:color w:val="auto"/>
                <w:sz w:val="20"/>
                <w:szCs w:val="20"/>
              </w:rPr>
            </w:pPr>
          </w:p>
        </w:tc>
      </w:tr>
      <w:tr w:rsidR="0067619B" w14:paraId="2CB28ABB" w14:textId="77777777" w:rsidTr="00843524">
        <w:trPr>
          <w:cantSplit/>
          <w:trHeight w:val="1020"/>
        </w:trPr>
        <w:tc>
          <w:tcPr>
            <w:tcW w:w="4479" w:type="dxa"/>
            <w:shd w:val="clear" w:color="auto" w:fill="DEEAF6" w:themeFill="accent5" w:themeFillTint="33"/>
            <w:vAlign w:val="center"/>
          </w:tcPr>
          <w:p w14:paraId="20CDB2DB"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E534CB6" w14:textId="77777777" w:rsidR="0067619B" w:rsidRPr="00C25F0F" w:rsidRDefault="0067619B" w:rsidP="00843524">
            <w:pPr>
              <w:keepNext/>
              <w:keepLines/>
              <w:rPr>
                <w:rFonts w:ascii="Open Sans" w:hAnsi="Open Sans" w:cs="Open Sans"/>
                <w:color w:val="auto"/>
                <w:sz w:val="20"/>
                <w:szCs w:val="20"/>
              </w:rPr>
            </w:pPr>
          </w:p>
        </w:tc>
      </w:tr>
      <w:tr w:rsidR="0067619B" w14:paraId="48977A2B" w14:textId="77777777" w:rsidTr="00843524">
        <w:trPr>
          <w:cantSplit/>
          <w:trHeight w:val="501"/>
        </w:trPr>
        <w:tc>
          <w:tcPr>
            <w:tcW w:w="4490" w:type="dxa"/>
            <w:shd w:val="clear" w:color="auto" w:fill="DEEAF6" w:themeFill="accent5" w:themeFillTint="33"/>
            <w:vAlign w:val="center"/>
          </w:tcPr>
          <w:p w14:paraId="5880ECA4"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5033F12"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67619B" w14:paraId="44064DC5" w14:textId="77777777" w:rsidTr="00843524">
        <w:trPr>
          <w:cantSplit/>
          <w:trHeight w:val="501"/>
        </w:trPr>
        <w:tc>
          <w:tcPr>
            <w:tcW w:w="4490" w:type="dxa"/>
            <w:shd w:val="clear" w:color="auto" w:fill="DEEAF6" w:themeFill="accent5" w:themeFillTint="33"/>
            <w:vAlign w:val="center"/>
          </w:tcPr>
          <w:p w14:paraId="76369B49" w14:textId="77777777" w:rsidR="0067619B" w:rsidRPr="00C25F0F" w:rsidRDefault="0067619B"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cc5e8e39-d911-4106-b737-ea94cb8a6c04"/>
            <w:id w:val="526371914"/>
            <w:placeholder>
              <w:docPart w:val="00EA6C793E06442AAC78A1AEF0A54386"/>
            </w:placeholder>
          </w:sdtPr>
          <w:sdtEndPr/>
          <w:sdtContent>
            <w:tc>
              <w:tcPr>
                <w:tcW w:w="4490" w:type="dxa"/>
                <w:shd w:val="clear" w:color="auto" w:fill="F2F2F2" w:themeFill="background1" w:themeFillShade="F2"/>
                <w:vAlign w:val="center"/>
              </w:tcPr>
              <w:p w14:paraId="27F02D4B" w14:textId="3A9423C5" w:rsidR="0067619B" w:rsidRPr="00C25F0F" w:rsidRDefault="00D5291C"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D5291C">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0E248E5"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3FAE" w14:textId="77777777" w:rsidR="006F0A05" w:rsidRDefault="006F0A05" w:rsidP="00F26800">
      <w:pPr>
        <w:spacing w:after="0" w:line="240" w:lineRule="auto"/>
      </w:pPr>
      <w:r>
        <w:separator/>
      </w:r>
    </w:p>
  </w:endnote>
  <w:endnote w:type="continuationSeparator" w:id="0">
    <w:p w14:paraId="5D05FC48" w14:textId="77777777" w:rsidR="006F0A05" w:rsidRDefault="006F0A05" w:rsidP="00F26800">
      <w:pPr>
        <w:spacing w:after="0" w:line="240" w:lineRule="auto"/>
      </w:pPr>
      <w:r>
        <w:continuationSeparator/>
      </w:r>
    </w:p>
  </w:endnote>
  <w:endnote w:type="continuationNotice" w:id="1">
    <w:p w14:paraId="70D6577C" w14:textId="77777777" w:rsidR="006F0A05" w:rsidRDefault="006F0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0191" w14:textId="77777777" w:rsidR="00D22558" w:rsidRDefault="00D22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D513" w14:textId="7E9A85F2"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0304C07" wp14:editId="09118114">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5020291C" wp14:editId="7CD60384">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C09170A"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3951D1D2" wp14:editId="12EB2A4D">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3C5AC02" w14:textId="0BAB9FB9" w:rsidR="00F26800" w:rsidRPr="00B9509F" w:rsidRDefault="009E12CE"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Aseptic Technique </w:t>
    </w:r>
    <w:r w:rsidR="006941F6">
      <w:rPr>
        <w:rFonts w:ascii="Open Sans" w:hAnsi="Open Sans" w:cs="Open Sans"/>
        <w:sz w:val="20"/>
        <w:szCs w:val="20"/>
      </w:rPr>
      <w:t>Policy</w:t>
    </w:r>
    <w:r w:rsidR="00B55CBF">
      <w:rPr>
        <w:rFonts w:ascii="Open Sans" w:hAnsi="Open Sans" w:cs="Open Sans"/>
        <w:sz w:val="20"/>
        <w:szCs w:val="20"/>
      </w:rPr>
      <w:t xml:space="preserve"> and Procedures</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4E3AA2">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2164863F" w14:textId="77777777" w:rsidR="0009208F" w:rsidRDefault="0009208F" w:rsidP="00471F18">
    <w:pPr>
      <w:pStyle w:val="Footer"/>
      <w:tabs>
        <w:tab w:val="left" w:pos="12195"/>
      </w:tabs>
      <w:rPr>
        <w:color w:val="auto"/>
      </w:rPr>
    </w:pPr>
  </w:p>
  <w:p w14:paraId="287ED73C" w14:textId="7900F2BC"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4E3AA2">
      <w:rPr>
        <w:rFonts w:ascii="Open Sans" w:hAnsi="Open Sans" w:cs="Open Sans"/>
        <w:color w:val="auto"/>
        <w:sz w:val="18"/>
        <w:szCs w:val="18"/>
      </w:rPr>
      <w:t>3</w:t>
    </w:r>
    <w:r w:rsidR="00D25D9F" w:rsidRPr="00A54D62">
      <w:rPr>
        <w:rFonts w:ascii="Open Sans" w:hAnsi="Open Sans" w:cs="Open Sans"/>
        <w:color w:val="auto"/>
        <w:sz w:val="18"/>
        <w:szCs w:val="18"/>
      </w:rPr>
      <w:tab/>
    </w:r>
  </w:p>
  <w:p w14:paraId="2513E30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FE05"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D6B26DF" wp14:editId="12BF3F1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4782B61" w14:textId="77777777" w:rsidR="00DA5468" w:rsidRPr="001D5FF8" w:rsidRDefault="00DA5468" w:rsidP="00DA5468">
                          <w:pPr>
                            <w:spacing w:after="0"/>
                            <w:jc w:val="center"/>
                            <w:rPr>
                              <w:rFonts w:ascii="Cambria" w:hAnsi="Cambria"/>
                              <w:b/>
                              <w:color w:val="44546A" w:themeColor="text2"/>
                              <w:sz w:val="24"/>
                            </w:rPr>
                          </w:pPr>
                        </w:p>
                        <w:p w14:paraId="51251495"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6938AFF" w14:textId="77777777" w:rsidR="00DA5468" w:rsidRPr="001D5FF8" w:rsidRDefault="00DA5468" w:rsidP="00DA5468">
                          <w:pPr>
                            <w:spacing w:after="0"/>
                            <w:jc w:val="center"/>
                            <w:rPr>
                              <w:rFonts w:ascii="Cambria" w:hAnsi="Cambria"/>
                              <w:b/>
                              <w:color w:val="44546A" w:themeColor="text2"/>
                              <w:sz w:val="24"/>
                            </w:rPr>
                          </w:pPr>
                        </w:p>
                        <w:p w14:paraId="35481D92"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26DF"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4782B61" w14:textId="77777777" w:rsidR="00DA5468" w:rsidRPr="001D5FF8" w:rsidRDefault="00DA5468" w:rsidP="00DA5468">
                    <w:pPr>
                      <w:spacing w:after="0"/>
                      <w:jc w:val="center"/>
                      <w:rPr>
                        <w:rFonts w:ascii="Cambria" w:hAnsi="Cambria"/>
                        <w:b/>
                        <w:color w:val="44546A" w:themeColor="text2"/>
                        <w:sz w:val="24"/>
                      </w:rPr>
                    </w:pPr>
                  </w:p>
                  <w:p w14:paraId="51251495"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6938AFF" w14:textId="77777777" w:rsidR="00DA5468" w:rsidRPr="001D5FF8" w:rsidRDefault="00DA5468" w:rsidP="00DA5468">
                    <w:pPr>
                      <w:spacing w:after="0"/>
                      <w:jc w:val="center"/>
                      <w:rPr>
                        <w:rFonts w:ascii="Cambria" w:hAnsi="Cambria"/>
                        <w:b/>
                        <w:color w:val="44546A" w:themeColor="text2"/>
                        <w:sz w:val="24"/>
                      </w:rPr>
                    </w:pPr>
                  </w:p>
                  <w:p w14:paraId="35481D92"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DE2FAA4" wp14:editId="17B6376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52BEF11"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8B84" w14:textId="77777777" w:rsidR="006F0A05" w:rsidRDefault="006F0A05" w:rsidP="00F26800">
      <w:pPr>
        <w:spacing w:after="0" w:line="240" w:lineRule="auto"/>
      </w:pPr>
      <w:r>
        <w:separator/>
      </w:r>
    </w:p>
  </w:footnote>
  <w:footnote w:type="continuationSeparator" w:id="0">
    <w:p w14:paraId="4AF858B5" w14:textId="77777777" w:rsidR="006F0A05" w:rsidRDefault="006F0A05" w:rsidP="00F26800">
      <w:pPr>
        <w:spacing w:after="0" w:line="240" w:lineRule="auto"/>
      </w:pPr>
      <w:r>
        <w:continuationSeparator/>
      </w:r>
    </w:p>
  </w:footnote>
  <w:footnote w:type="continuationNotice" w:id="1">
    <w:p w14:paraId="43975CC8" w14:textId="77777777" w:rsidR="006F0A05" w:rsidRDefault="006F0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C128" w14:textId="77777777" w:rsidR="00D22558" w:rsidRDefault="00D22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b71900ff-a5ba-482d-a4e5-5dbc361b25c4"/>
      <w:id w:val="-52858960"/>
      <w:placeholder>
        <w:docPart w:val="E3A179BBA11A4847BF36B57C9ACBC384"/>
      </w:placeholder>
    </w:sdtPr>
    <w:sdtEndPr/>
    <w:sdtContent>
      <w:p w14:paraId="11441B05" w14:textId="68E9CD52" w:rsidR="00C047B1" w:rsidRPr="00874555" w:rsidRDefault="00874555" w:rsidP="00874555">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874555">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C99" w14:textId="46619FCB" w:rsidR="003D3F42" w:rsidRPr="00D22558" w:rsidRDefault="003D3F42" w:rsidP="00674810">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4155D"/>
    <w:multiLevelType w:val="hybridMultilevel"/>
    <w:tmpl w:val="6D3854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01ABD"/>
    <w:multiLevelType w:val="hybridMultilevel"/>
    <w:tmpl w:val="F7DC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514EA"/>
    <w:multiLevelType w:val="hybridMultilevel"/>
    <w:tmpl w:val="F866F1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25A0AB4"/>
    <w:multiLevelType w:val="hybridMultilevel"/>
    <w:tmpl w:val="90A0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934EE"/>
    <w:multiLevelType w:val="hybridMultilevel"/>
    <w:tmpl w:val="B8F8BA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676DE"/>
    <w:multiLevelType w:val="hybridMultilevel"/>
    <w:tmpl w:val="B460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146D3"/>
    <w:multiLevelType w:val="multilevel"/>
    <w:tmpl w:val="F050C3B8"/>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775696">
    <w:abstractNumId w:val="23"/>
  </w:num>
  <w:num w:numId="2" w16cid:durableId="381485520">
    <w:abstractNumId w:val="29"/>
  </w:num>
  <w:num w:numId="3" w16cid:durableId="1989674678">
    <w:abstractNumId w:val="28"/>
  </w:num>
  <w:num w:numId="4" w16cid:durableId="1641573734">
    <w:abstractNumId w:val="26"/>
  </w:num>
  <w:num w:numId="5" w16cid:durableId="681785759">
    <w:abstractNumId w:val="11"/>
  </w:num>
  <w:num w:numId="6" w16cid:durableId="1190220472">
    <w:abstractNumId w:val="12"/>
  </w:num>
  <w:num w:numId="7" w16cid:durableId="2014799363">
    <w:abstractNumId w:val="13"/>
  </w:num>
  <w:num w:numId="8" w16cid:durableId="341317327">
    <w:abstractNumId w:val="26"/>
  </w:num>
  <w:num w:numId="9" w16cid:durableId="430006225">
    <w:abstractNumId w:val="1"/>
  </w:num>
  <w:num w:numId="10" w16cid:durableId="1002246461">
    <w:abstractNumId w:val="6"/>
  </w:num>
  <w:num w:numId="11" w16cid:durableId="972564988">
    <w:abstractNumId w:val="10"/>
  </w:num>
  <w:num w:numId="12" w16cid:durableId="2015303151">
    <w:abstractNumId w:val="7"/>
  </w:num>
  <w:num w:numId="13" w16cid:durableId="1368872567">
    <w:abstractNumId w:val="3"/>
  </w:num>
  <w:num w:numId="14" w16cid:durableId="1265839864">
    <w:abstractNumId w:val="21"/>
  </w:num>
  <w:num w:numId="15" w16cid:durableId="1029795273">
    <w:abstractNumId w:val="19"/>
  </w:num>
  <w:num w:numId="16" w16cid:durableId="2083330745">
    <w:abstractNumId w:val="27"/>
  </w:num>
  <w:num w:numId="17" w16cid:durableId="2118672979">
    <w:abstractNumId w:val="25"/>
  </w:num>
  <w:num w:numId="18" w16cid:durableId="518738176">
    <w:abstractNumId w:val="0"/>
  </w:num>
  <w:num w:numId="19" w16cid:durableId="811217067">
    <w:abstractNumId w:val="4"/>
  </w:num>
  <w:num w:numId="20" w16cid:durableId="249241651">
    <w:abstractNumId w:val="9"/>
  </w:num>
  <w:num w:numId="21" w16cid:durableId="785198564">
    <w:abstractNumId w:val="15"/>
  </w:num>
  <w:num w:numId="22" w16cid:durableId="1743020930">
    <w:abstractNumId w:val="14"/>
  </w:num>
  <w:num w:numId="23" w16cid:durableId="144205185">
    <w:abstractNumId w:val="16"/>
  </w:num>
  <w:num w:numId="24" w16cid:durableId="1475681414">
    <w:abstractNumId w:val="5"/>
  </w:num>
  <w:num w:numId="25" w16cid:durableId="872232848">
    <w:abstractNumId w:val="24"/>
  </w:num>
  <w:num w:numId="26" w16cid:durableId="719748257">
    <w:abstractNumId w:val="30"/>
  </w:num>
  <w:num w:numId="27" w16cid:durableId="749155849">
    <w:abstractNumId w:val="17"/>
  </w:num>
  <w:num w:numId="28" w16cid:durableId="2127507993">
    <w:abstractNumId w:val="20"/>
  </w:num>
  <w:num w:numId="29" w16cid:durableId="889460903">
    <w:abstractNumId w:val="2"/>
  </w:num>
  <w:num w:numId="30" w16cid:durableId="1270627146">
    <w:abstractNumId w:val="8"/>
  </w:num>
  <w:num w:numId="31" w16cid:durableId="779373345">
    <w:abstractNumId w:val="22"/>
  </w:num>
  <w:num w:numId="32" w16cid:durableId="1546678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IxMjAyMTU1NDdX0lEKTi0uzszPAykwrAUALgNUQi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07C9"/>
    <w:rsid w:val="00131950"/>
    <w:rsid w:val="00132474"/>
    <w:rsid w:val="00136CFC"/>
    <w:rsid w:val="001379FC"/>
    <w:rsid w:val="001474AF"/>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9B4"/>
    <w:rsid w:val="001E1B5B"/>
    <w:rsid w:val="001E3B34"/>
    <w:rsid w:val="001E3DCC"/>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22D8"/>
    <w:rsid w:val="003052C6"/>
    <w:rsid w:val="00313022"/>
    <w:rsid w:val="00330DFA"/>
    <w:rsid w:val="00336D06"/>
    <w:rsid w:val="00337597"/>
    <w:rsid w:val="003407E1"/>
    <w:rsid w:val="00355159"/>
    <w:rsid w:val="00363146"/>
    <w:rsid w:val="00367919"/>
    <w:rsid w:val="003705E7"/>
    <w:rsid w:val="003805D5"/>
    <w:rsid w:val="00382404"/>
    <w:rsid w:val="003A30C4"/>
    <w:rsid w:val="003C284D"/>
    <w:rsid w:val="003C74BB"/>
    <w:rsid w:val="003C7AB4"/>
    <w:rsid w:val="003D1D86"/>
    <w:rsid w:val="003D3F42"/>
    <w:rsid w:val="003E5A0D"/>
    <w:rsid w:val="003E7ED7"/>
    <w:rsid w:val="003F3A4C"/>
    <w:rsid w:val="00404CDF"/>
    <w:rsid w:val="00422552"/>
    <w:rsid w:val="004234D7"/>
    <w:rsid w:val="00430B44"/>
    <w:rsid w:val="004338E5"/>
    <w:rsid w:val="004437A7"/>
    <w:rsid w:val="00466551"/>
    <w:rsid w:val="00467D0C"/>
    <w:rsid w:val="00467EF7"/>
    <w:rsid w:val="00470EB9"/>
    <w:rsid w:val="0047154B"/>
    <w:rsid w:val="00471F18"/>
    <w:rsid w:val="00473D3F"/>
    <w:rsid w:val="00473FE0"/>
    <w:rsid w:val="004748ED"/>
    <w:rsid w:val="00481657"/>
    <w:rsid w:val="0048239F"/>
    <w:rsid w:val="00491B2B"/>
    <w:rsid w:val="00495953"/>
    <w:rsid w:val="004C1850"/>
    <w:rsid w:val="004E29CF"/>
    <w:rsid w:val="004E3AA2"/>
    <w:rsid w:val="004F01F0"/>
    <w:rsid w:val="004F2872"/>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1C9F"/>
    <w:rsid w:val="005C48D3"/>
    <w:rsid w:val="005D37DA"/>
    <w:rsid w:val="00607F19"/>
    <w:rsid w:val="006146AF"/>
    <w:rsid w:val="006504EC"/>
    <w:rsid w:val="00652707"/>
    <w:rsid w:val="00653CDF"/>
    <w:rsid w:val="006540CC"/>
    <w:rsid w:val="00656408"/>
    <w:rsid w:val="00660643"/>
    <w:rsid w:val="00664DC7"/>
    <w:rsid w:val="00664F53"/>
    <w:rsid w:val="00674810"/>
    <w:rsid w:val="0067619B"/>
    <w:rsid w:val="00693FBE"/>
    <w:rsid w:val="006941F6"/>
    <w:rsid w:val="006945ED"/>
    <w:rsid w:val="00694C64"/>
    <w:rsid w:val="006A43B2"/>
    <w:rsid w:val="006B663D"/>
    <w:rsid w:val="006C7A41"/>
    <w:rsid w:val="006D75C8"/>
    <w:rsid w:val="006E5548"/>
    <w:rsid w:val="006F0A05"/>
    <w:rsid w:val="006F1F7D"/>
    <w:rsid w:val="007071F5"/>
    <w:rsid w:val="00710215"/>
    <w:rsid w:val="00712A85"/>
    <w:rsid w:val="00714A4D"/>
    <w:rsid w:val="0071607C"/>
    <w:rsid w:val="00720F0B"/>
    <w:rsid w:val="00721974"/>
    <w:rsid w:val="00734400"/>
    <w:rsid w:val="007439B9"/>
    <w:rsid w:val="00743ACC"/>
    <w:rsid w:val="00745A2D"/>
    <w:rsid w:val="0074717F"/>
    <w:rsid w:val="00752034"/>
    <w:rsid w:val="00760550"/>
    <w:rsid w:val="00761CE6"/>
    <w:rsid w:val="00780B49"/>
    <w:rsid w:val="00787A72"/>
    <w:rsid w:val="00790903"/>
    <w:rsid w:val="007970CB"/>
    <w:rsid w:val="007A4133"/>
    <w:rsid w:val="007B18EE"/>
    <w:rsid w:val="007D1983"/>
    <w:rsid w:val="007D6301"/>
    <w:rsid w:val="007E5EDE"/>
    <w:rsid w:val="007F038D"/>
    <w:rsid w:val="008126EE"/>
    <w:rsid w:val="00812F73"/>
    <w:rsid w:val="00824A75"/>
    <w:rsid w:val="00830168"/>
    <w:rsid w:val="008461A5"/>
    <w:rsid w:val="00852BC0"/>
    <w:rsid w:val="0086651D"/>
    <w:rsid w:val="00874555"/>
    <w:rsid w:val="00877C5C"/>
    <w:rsid w:val="00893F87"/>
    <w:rsid w:val="008A34E1"/>
    <w:rsid w:val="008A43FD"/>
    <w:rsid w:val="008A472E"/>
    <w:rsid w:val="008B198D"/>
    <w:rsid w:val="008B65AE"/>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203D"/>
    <w:rsid w:val="0098533C"/>
    <w:rsid w:val="009A6A1B"/>
    <w:rsid w:val="009C22E7"/>
    <w:rsid w:val="009D2E9C"/>
    <w:rsid w:val="009E12CE"/>
    <w:rsid w:val="009E27BC"/>
    <w:rsid w:val="009E29B3"/>
    <w:rsid w:val="009F2092"/>
    <w:rsid w:val="00A00877"/>
    <w:rsid w:val="00A0484C"/>
    <w:rsid w:val="00A10050"/>
    <w:rsid w:val="00A10CC1"/>
    <w:rsid w:val="00A338E4"/>
    <w:rsid w:val="00A40009"/>
    <w:rsid w:val="00A401F8"/>
    <w:rsid w:val="00A42CAA"/>
    <w:rsid w:val="00A54D62"/>
    <w:rsid w:val="00A61563"/>
    <w:rsid w:val="00A6539E"/>
    <w:rsid w:val="00A84168"/>
    <w:rsid w:val="00A86F55"/>
    <w:rsid w:val="00A94A2B"/>
    <w:rsid w:val="00A97E92"/>
    <w:rsid w:val="00AA4830"/>
    <w:rsid w:val="00AB528C"/>
    <w:rsid w:val="00AC75B0"/>
    <w:rsid w:val="00AD0206"/>
    <w:rsid w:val="00AD6C6D"/>
    <w:rsid w:val="00AE6B30"/>
    <w:rsid w:val="00B00AC3"/>
    <w:rsid w:val="00B00C10"/>
    <w:rsid w:val="00B0412F"/>
    <w:rsid w:val="00B10813"/>
    <w:rsid w:val="00B1280B"/>
    <w:rsid w:val="00B20F79"/>
    <w:rsid w:val="00B32323"/>
    <w:rsid w:val="00B40B34"/>
    <w:rsid w:val="00B4560C"/>
    <w:rsid w:val="00B50616"/>
    <w:rsid w:val="00B524DF"/>
    <w:rsid w:val="00B55CBF"/>
    <w:rsid w:val="00B57624"/>
    <w:rsid w:val="00B63D02"/>
    <w:rsid w:val="00B737B3"/>
    <w:rsid w:val="00B757E0"/>
    <w:rsid w:val="00B77FA6"/>
    <w:rsid w:val="00B82767"/>
    <w:rsid w:val="00B9509F"/>
    <w:rsid w:val="00BA42B3"/>
    <w:rsid w:val="00BB047B"/>
    <w:rsid w:val="00BB1FE2"/>
    <w:rsid w:val="00BB1FE5"/>
    <w:rsid w:val="00BC6849"/>
    <w:rsid w:val="00BD44F8"/>
    <w:rsid w:val="00BF1DF0"/>
    <w:rsid w:val="00BF7C30"/>
    <w:rsid w:val="00C047B1"/>
    <w:rsid w:val="00C12256"/>
    <w:rsid w:val="00C27301"/>
    <w:rsid w:val="00C3533C"/>
    <w:rsid w:val="00C4629A"/>
    <w:rsid w:val="00C5609A"/>
    <w:rsid w:val="00C6507C"/>
    <w:rsid w:val="00C66F16"/>
    <w:rsid w:val="00C7178A"/>
    <w:rsid w:val="00C73541"/>
    <w:rsid w:val="00C73AE3"/>
    <w:rsid w:val="00C80992"/>
    <w:rsid w:val="00C90E70"/>
    <w:rsid w:val="00CA0D03"/>
    <w:rsid w:val="00CA346F"/>
    <w:rsid w:val="00CC349F"/>
    <w:rsid w:val="00CD0E60"/>
    <w:rsid w:val="00CE6956"/>
    <w:rsid w:val="00CF0A20"/>
    <w:rsid w:val="00CF6D39"/>
    <w:rsid w:val="00D056CD"/>
    <w:rsid w:val="00D1065B"/>
    <w:rsid w:val="00D160EE"/>
    <w:rsid w:val="00D22558"/>
    <w:rsid w:val="00D226D0"/>
    <w:rsid w:val="00D25D9F"/>
    <w:rsid w:val="00D31D1F"/>
    <w:rsid w:val="00D419AC"/>
    <w:rsid w:val="00D5291C"/>
    <w:rsid w:val="00D57BF5"/>
    <w:rsid w:val="00D64A3C"/>
    <w:rsid w:val="00D71BD5"/>
    <w:rsid w:val="00D97983"/>
    <w:rsid w:val="00D97F91"/>
    <w:rsid w:val="00DA5468"/>
    <w:rsid w:val="00DB5716"/>
    <w:rsid w:val="00DC5317"/>
    <w:rsid w:val="00DE5210"/>
    <w:rsid w:val="00DF5A30"/>
    <w:rsid w:val="00E030EA"/>
    <w:rsid w:val="00E0594F"/>
    <w:rsid w:val="00E11652"/>
    <w:rsid w:val="00E20FEF"/>
    <w:rsid w:val="00E22FA7"/>
    <w:rsid w:val="00E331CB"/>
    <w:rsid w:val="00E60654"/>
    <w:rsid w:val="00E67831"/>
    <w:rsid w:val="00EA6F05"/>
    <w:rsid w:val="00EA7C0E"/>
    <w:rsid w:val="00EB40AA"/>
    <w:rsid w:val="00EC31A3"/>
    <w:rsid w:val="00ED4A78"/>
    <w:rsid w:val="00EE2ED4"/>
    <w:rsid w:val="00EE5A8F"/>
    <w:rsid w:val="00EF2AC2"/>
    <w:rsid w:val="00F078D7"/>
    <w:rsid w:val="00F10B52"/>
    <w:rsid w:val="00F13E76"/>
    <w:rsid w:val="00F17033"/>
    <w:rsid w:val="00F20468"/>
    <w:rsid w:val="00F26800"/>
    <w:rsid w:val="00F327FF"/>
    <w:rsid w:val="00F53013"/>
    <w:rsid w:val="00F632AF"/>
    <w:rsid w:val="00F85CB5"/>
    <w:rsid w:val="00F90786"/>
    <w:rsid w:val="00F93B14"/>
    <w:rsid w:val="00F94A96"/>
    <w:rsid w:val="00F974B8"/>
    <w:rsid w:val="00FA3FCA"/>
    <w:rsid w:val="00FB086C"/>
    <w:rsid w:val="00FB220C"/>
    <w:rsid w:val="00FB7151"/>
    <w:rsid w:val="00FC39FB"/>
    <w:rsid w:val="00FC3EFE"/>
    <w:rsid w:val="00FC5698"/>
    <w:rsid w:val="00FF51E7"/>
    <w:rsid w:val="00FF6094"/>
    <w:rsid w:val="00FF6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E259"/>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B00C10"/>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B00C10"/>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FollowedHyperlink">
    <w:name w:val="FollowedHyperlink"/>
    <w:basedOn w:val="DefaultParagraphFont"/>
    <w:uiPriority w:val="99"/>
    <w:semiHidden/>
    <w:unhideWhenUsed/>
    <w:rsid w:val="006F1F7D"/>
    <w:rPr>
      <w:color w:val="954F72" w:themeColor="followedHyperlink"/>
      <w:u w:val="single"/>
    </w:rPr>
  </w:style>
  <w:style w:type="character" w:styleId="PlaceholderText">
    <w:name w:val="Placeholder Text"/>
    <w:basedOn w:val="DefaultParagraphFont"/>
    <w:uiPriority w:val="99"/>
    <w:semiHidden/>
    <w:rsid w:val="00D22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times.net/infection-prevention-and-control/principles-of-asepsis-1-the-rationale-for-using-aseptic-technique-14-04-20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ice.org.uk/guidance/cg13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ho.int/campaigns/world-hand-hygiene-da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t.org/resource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3897CACDA4CE6B6004FB38702A2B2"/>
        <w:category>
          <w:name w:val="General"/>
          <w:gallery w:val="placeholder"/>
        </w:category>
        <w:types>
          <w:type w:val="bbPlcHdr"/>
        </w:types>
        <w:behaviors>
          <w:behavior w:val="content"/>
        </w:behaviors>
        <w:guid w:val="{EDA344CE-894F-4A41-8EB7-44D9522E09A0}"/>
      </w:docPartPr>
      <w:docPartBody>
        <w:p w:rsidR="00BB796F" w:rsidRDefault="00D239D7">
          <w:r w:rsidRPr="00AC107B">
            <w:rPr>
              <w:rStyle w:val="PlaceholderText"/>
            </w:rPr>
            <w:t>Date of Issue</w:t>
          </w:r>
        </w:p>
      </w:docPartBody>
    </w:docPart>
    <w:docPart>
      <w:docPartPr>
        <w:name w:val="812467C8CF3F4BF7AB31156CADD78835"/>
        <w:category>
          <w:name w:val="General"/>
          <w:gallery w:val="placeholder"/>
        </w:category>
        <w:types>
          <w:type w:val="bbPlcHdr"/>
        </w:types>
        <w:behaviors>
          <w:behavior w:val="content"/>
        </w:behaviors>
        <w:guid w:val="{C2138A63-5609-4C0F-B1DE-2C87FDF7920A}"/>
      </w:docPartPr>
      <w:docPartBody>
        <w:p w:rsidR="00BB796F" w:rsidRDefault="00D239D7">
          <w:r w:rsidRPr="00AC107B">
            <w:rPr>
              <w:rStyle w:val="PlaceholderText"/>
            </w:rPr>
            <w:t>Date of Issue</w:t>
          </w:r>
        </w:p>
      </w:docPartBody>
    </w:docPart>
    <w:docPart>
      <w:docPartPr>
        <w:name w:val="D982063606D944CC9BC09E94891A512A"/>
        <w:category>
          <w:name w:val="General"/>
          <w:gallery w:val="placeholder"/>
        </w:category>
        <w:types>
          <w:type w:val="bbPlcHdr"/>
        </w:types>
        <w:behaviors>
          <w:behavior w:val="content"/>
        </w:behaviors>
        <w:guid w:val="{3D44147A-2054-44D7-8648-38BD66E0DEB1}"/>
      </w:docPartPr>
      <w:docPartBody>
        <w:p w:rsidR="00BB796F" w:rsidRDefault="00D239D7">
          <w:r w:rsidRPr="00AC107B">
            <w:rPr>
              <w:rStyle w:val="PlaceholderText"/>
            </w:rPr>
            <w:t>Date of Issue</w:t>
          </w:r>
        </w:p>
      </w:docPartBody>
    </w:docPart>
    <w:docPart>
      <w:docPartPr>
        <w:name w:val="CE704D2A9E9D4B65B9CD510B3B0F1CB7"/>
        <w:category>
          <w:name w:val="General"/>
          <w:gallery w:val="placeholder"/>
        </w:category>
        <w:types>
          <w:type w:val="bbPlcHdr"/>
        </w:types>
        <w:behaviors>
          <w:behavior w:val="content"/>
        </w:behaviors>
        <w:guid w:val="{844EE4C9-DED4-422B-9D8F-CE08D46FF365}"/>
      </w:docPartPr>
      <w:docPartBody>
        <w:p w:rsidR="00BB796F" w:rsidRDefault="00D239D7">
          <w:r w:rsidRPr="00AC107B">
            <w:rPr>
              <w:rStyle w:val="PlaceholderText"/>
            </w:rPr>
            <w:t>Policy Lead</w:t>
          </w:r>
        </w:p>
      </w:docPartBody>
    </w:docPart>
    <w:docPart>
      <w:docPartPr>
        <w:name w:val="3377C25BAAF94C7494D7327D515C6C79"/>
        <w:category>
          <w:name w:val="General"/>
          <w:gallery w:val="placeholder"/>
        </w:category>
        <w:types>
          <w:type w:val="bbPlcHdr"/>
        </w:types>
        <w:behaviors>
          <w:behavior w:val="content"/>
        </w:behaviors>
        <w:guid w:val="{04EE8934-8CF6-4EEB-845F-6C059D651CBC}"/>
      </w:docPartPr>
      <w:docPartBody>
        <w:p w:rsidR="00BB796F" w:rsidRDefault="00D239D7">
          <w:r w:rsidRPr="00AC107B">
            <w:rPr>
              <w:rStyle w:val="PlaceholderText"/>
            </w:rPr>
            <w:t>Date of Review</w:t>
          </w:r>
        </w:p>
      </w:docPartBody>
    </w:docPart>
    <w:docPart>
      <w:docPartPr>
        <w:name w:val="00EA6C793E06442AAC78A1AEF0A54386"/>
        <w:category>
          <w:name w:val="General"/>
          <w:gallery w:val="placeholder"/>
        </w:category>
        <w:types>
          <w:type w:val="bbPlcHdr"/>
        </w:types>
        <w:behaviors>
          <w:behavior w:val="content"/>
        </w:behaviors>
        <w:guid w:val="{79DB8ADD-2033-4B6F-805D-363B0009E7E5}"/>
      </w:docPartPr>
      <w:docPartBody>
        <w:p w:rsidR="00BB796F" w:rsidRDefault="00D239D7">
          <w:r w:rsidRPr="00AC107B">
            <w:rPr>
              <w:rStyle w:val="PlaceholderText"/>
            </w:rPr>
            <w:t>Date of Review</w:t>
          </w:r>
        </w:p>
      </w:docPartBody>
    </w:docPart>
    <w:docPart>
      <w:docPartPr>
        <w:name w:val="8EB369F91BD949E09C1055AE58507251"/>
        <w:category>
          <w:name w:val="General"/>
          <w:gallery w:val="placeholder"/>
        </w:category>
        <w:types>
          <w:type w:val="bbPlcHdr"/>
        </w:types>
        <w:behaviors>
          <w:behavior w:val="content"/>
        </w:behaviors>
        <w:guid w:val="{29DC8B75-E28A-4B0A-834B-41761EA2ABE9}"/>
      </w:docPartPr>
      <w:docPartBody>
        <w:p w:rsidR="00BB796F" w:rsidRDefault="00D239D7">
          <w:r w:rsidRPr="00AC107B">
            <w:rPr>
              <w:rStyle w:val="PlaceholderText"/>
            </w:rPr>
            <w:t>Company Name</w:t>
          </w:r>
        </w:p>
      </w:docPartBody>
    </w:docPart>
    <w:docPart>
      <w:docPartPr>
        <w:name w:val="269ACD45D0E64EF2AE3E05E85CB3084F"/>
        <w:category>
          <w:name w:val="General"/>
          <w:gallery w:val="placeholder"/>
        </w:category>
        <w:types>
          <w:type w:val="bbPlcHdr"/>
        </w:types>
        <w:behaviors>
          <w:behavior w:val="content"/>
        </w:behaviors>
        <w:guid w:val="{224775D7-6C52-4800-9263-FFFE2AA464ED}"/>
      </w:docPartPr>
      <w:docPartBody>
        <w:p w:rsidR="00BB796F" w:rsidRDefault="00D239D7">
          <w:r w:rsidRPr="00AC107B">
            <w:rPr>
              <w:rStyle w:val="PlaceholderText"/>
            </w:rPr>
            <w:t>Company Name</w:t>
          </w:r>
        </w:p>
      </w:docPartBody>
    </w:docPart>
    <w:docPart>
      <w:docPartPr>
        <w:name w:val="F7CC3D53CFD949F6BA3A880EE1932CDE"/>
        <w:category>
          <w:name w:val="General"/>
          <w:gallery w:val="placeholder"/>
        </w:category>
        <w:types>
          <w:type w:val="bbPlcHdr"/>
        </w:types>
        <w:behaviors>
          <w:behavior w:val="content"/>
        </w:behaviors>
        <w:guid w:val="{F4465D9D-5799-4915-BA1E-69C5797B0C5A}"/>
      </w:docPartPr>
      <w:docPartBody>
        <w:p w:rsidR="00BB796F" w:rsidRDefault="00D239D7">
          <w:r w:rsidRPr="00AC107B">
            <w:rPr>
              <w:rStyle w:val="PlaceholderText"/>
            </w:rPr>
            <w:t>Company Name</w:t>
          </w:r>
        </w:p>
      </w:docPartBody>
    </w:docPart>
    <w:docPart>
      <w:docPartPr>
        <w:name w:val="D52502CE9CFC4EE1BD6DD93379FA80F0"/>
        <w:category>
          <w:name w:val="General"/>
          <w:gallery w:val="placeholder"/>
        </w:category>
        <w:types>
          <w:type w:val="bbPlcHdr"/>
        </w:types>
        <w:behaviors>
          <w:behavior w:val="content"/>
        </w:behaviors>
        <w:guid w:val="{9B495AB7-F061-4DF1-8115-E63BCD8B0140}"/>
      </w:docPartPr>
      <w:docPartBody>
        <w:p w:rsidR="00BB796F" w:rsidRDefault="00D239D7">
          <w:r w:rsidRPr="00AC107B">
            <w:rPr>
              <w:rStyle w:val="PlaceholderText"/>
            </w:rPr>
            <w:t>Company Name</w:t>
          </w:r>
        </w:p>
      </w:docPartBody>
    </w:docPart>
    <w:docPart>
      <w:docPartPr>
        <w:name w:val="6B53C2F5EE164C4F8D4DC39C370043B4"/>
        <w:category>
          <w:name w:val="General"/>
          <w:gallery w:val="placeholder"/>
        </w:category>
        <w:types>
          <w:type w:val="bbPlcHdr"/>
        </w:types>
        <w:behaviors>
          <w:behavior w:val="content"/>
        </w:behaviors>
        <w:guid w:val="{114F4BC0-89B9-4E86-9564-ED1EEC5076C9}"/>
      </w:docPartPr>
      <w:docPartBody>
        <w:p w:rsidR="006A7676" w:rsidRDefault="00BB796F">
          <w:r w:rsidRPr="007C45F2">
            <w:rPr>
              <w:rStyle w:val="PlaceholderText"/>
            </w:rPr>
            <w:t>Company Logo</w:t>
          </w:r>
        </w:p>
      </w:docPartBody>
    </w:docPart>
    <w:docPart>
      <w:docPartPr>
        <w:name w:val="E3A179BBA11A4847BF36B57C9ACBC384"/>
        <w:category>
          <w:name w:val="General"/>
          <w:gallery w:val="placeholder"/>
        </w:category>
        <w:types>
          <w:type w:val="bbPlcHdr"/>
        </w:types>
        <w:behaviors>
          <w:behavior w:val="content"/>
        </w:behaviors>
        <w:guid w:val="{FE94DE7B-EE0B-4336-9E14-C576DB3C59EC}"/>
      </w:docPartPr>
      <w:docPartBody>
        <w:p w:rsidR="00F21306" w:rsidRDefault="00C10640">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D7"/>
    <w:rsid w:val="006A7676"/>
    <w:rsid w:val="008F0EC4"/>
    <w:rsid w:val="00BB796F"/>
    <w:rsid w:val="00C10640"/>
    <w:rsid w:val="00C820A5"/>
    <w:rsid w:val="00D239D7"/>
    <w:rsid w:val="00EB1C22"/>
    <w:rsid w:val="00F21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6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e2c562bc-dffc-4f32-bd50-376e6aeb3512-638107614590000000</MigrationWizIdVersion>
    <lcf76f155ced4ddcb4097134ff3c332f0 xmlns="56237ad3-8718-4af8-998e-3036ac3599be" xsi:nil="true"/>
    <MigrationWizId xmlns="56237ad3-8718-4af8-998e-3036ac3599be">e2c562bc-dffc-4f32-bd50-376e6aeb3512</MigrationWizId>
    <MigrationWizIdPermissions xmlns="56237ad3-8718-4af8-998e-3036ac359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662F3D2B-0609-4C8A-9603-D32842EC8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1861</Words>
  <Characters>8658</Characters>
  <Application>Microsoft Office Word</Application>
  <DocSecurity>4</DocSecurity>
  <Lines>787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DCCD002 - Aseptic Technique Policy</dc:title>
  <dc:subject/>
  <dc:creator>Imogen Huxford</dc:creator>
  <cp:keywords/>
  <dc:description/>
  <cp:lastModifiedBy>Rachael Dowson-Wallace</cp:lastModifiedBy>
  <cp:revision>2</cp:revision>
  <cp:lastPrinted>2020-07-26T06:21:00Z</cp:lastPrinted>
  <dcterms:created xsi:type="dcterms:W3CDTF">2023-10-30T09:42:00Z</dcterms:created>
  <dcterms:modified xsi:type="dcterms:W3CDTF">2023-10-30T09:42:00Z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